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heme="majorHAnsi" w:hAnsiTheme="majorHAnsi" w:eastAsiaTheme="majorEastAsia" w:cstheme="majorBidi"/>
          <w:sz w:val="72"/>
          <w:szCs w:val="72"/>
        </w:rPr>
        <w:id w:val="223570403"/>
        <w:docPartObj>
          <w:docPartGallery w:val="autotext"/>
        </w:docPartObj>
      </w:sdtPr>
      <w:sdtEndPr>
        <w:rPr>
          <w:rFonts w:ascii="宋体" w:hAnsi="宋体" w:eastAsia="宋体" w:cs="Times New Roman"/>
          <w:sz w:val="28"/>
          <w:szCs w:val="20"/>
        </w:rPr>
      </w:sdtEndPr>
      <w:sdtContent>
        <w:sdt>
          <w:sdtPr>
            <w:rPr>
              <w:rFonts w:ascii="Cambria" w:hAnsi="Cambria"/>
              <w:sz w:val="72"/>
              <w:szCs w:val="72"/>
            </w:rPr>
            <w:id w:val="-1840539808"/>
            <w:docPartObj>
              <w:docPartGallery w:val="autotext"/>
            </w:docPartObj>
          </w:sdtPr>
          <w:sdtEndPr>
            <w:rPr>
              <w:rFonts w:ascii="宋体" w:hAnsi="宋体"/>
              <w:color w:val="000000"/>
              <w:sz w:val="28"/>
              <w:szCs w:val="20"/>
            </w:rPr>
          </w:sdtEndPr>
          <w:sdtContent>
            <w:p>
              <w:pPr>
                <w:rPr>
                  <w:rFonts w:ascii="仿宋_GB2312" w:eastAsia="仿宋_GB2312"/>
                  <w:sz w:val="32"/>
                  <w:szCs w:val="32"/>
                </w:rPr>
              </w:pPr>
            </w:p>
            <w:p>
              <w:pPr>
                <w:rPr>
                  <w:rFonts w:ascii="仿宋_GB2312" w:eastAsia="仿宋_GB2312"/>
                  <w:sz w:val="32"/>
                  <w:szCs w:val="32"/>
                </w:rPr>
              </w:pPr>
            </w:p>
            <w:p>
              <w:pPr>
                <w:widowControl/>
                <w:jc w:val="center"/>
                <w:rPr>
                  <w:rFonts w:ascii="仿宋_GB2312" w:eastAsia="仿宋_GB2312" w:cs="宋体"/>
                  <w:sz w:val="32"/>
                  <w:szCs w:val="32"/>
                </w:rPr>
              </w:pPr>
            </w:p>
            <w:p/>
            <w:p/>
            <w:p>
              <w:pPr>
                <w:jc w:val="center"/>
                <w:rPr>
                  <w:rFonts w:ascii="黑体" w:eastAsia="黑体"/>
                  <w:sz w:val="52"/>
                  <w:szCs w:val="52"/>
                </w:rPr>
              </w:pPr>
              <w:r>
                <w:rPr>
                  <w:rFonts w:hint="eastAsia" w:ascii="黑体" w:eastAsia="黑体"/>
                  <w:sz w:val="52"/>
                  <w:szCs w:val="52"/>
                  <w:lang w:eastAsia="zh-CN"/>
                </w:rPr>
                <w:t>岳阳市</w:t>
              </w:r>
              <w:r>
                <w:rPr>
                  <w:rFonts w:hint="eastAsia" w:ascii="黑体" w:eastAsia="黑体"/>
                  <w:sz w:val="52"/>
                  <w:szCs w:val="52"/>
                </w:rPr>
                <w:t>网络工程职业技术学校</w:t>
              </w:r>
            </w:p>
            <w:p/>
            <w:p/>
            <w:p>
              <w:pPr>
                <w:jc w:val="center"/>
                <w:rPr>
                  <w:rFonts w:ascii="黑体" w:eastAsia="黑体"/>
                  <w:sz w:val="52"/>
                  <w:szCs w:val="52"/>
                </w:rPr>
              </w:pPr>
              <w:r>
                <w:rPr>
                  <w:rFonts w:hint="eastAsia" w:ascii="黑体" w:eastAsia="黑体"/>
                  <w:sz w:val="52"/>
                  <w:szCs w:val="52"/>
                </w:rPr>
                <w:t>电子商务专业人才培养方案</w:t>
              </w:r>
            </w:p>
            <w:p>
              <w:pPr>
                <w:jc w:val="center"/>
                <w:rPr>
                  <w:rFonts w:ascii="黑体" w:eastAsia="黑体"/>
                  <w:sz w:val="52"/>
                  <w:szCs w:val="52"/>
                </w:rPr>
              </w:pPr>
            </w:p>
            <w:p>
              <w:pPr>
                <w:jc w:val="center"/>
                <w:rPr>
                  <w:rFonts w:ascii="黑体" w:eastAsia="黑体"/>
                  <w:sz w:val="52"/>
                  <w:szCs w:val="52"/>
                </w:rPr>
              </w:pPr>
            </w:p>
            <w:tbl>
              <w:tblPr>
                <w:tblStyle w:val="15"/>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黑体" w:eastAsia="黑体"/>
                        <w:sz w:val="52"/>
                        <w:szCs w:val="52"/>
                      </w:rPr>
                    </w:pPr>
                    <w:r>
                      <w:rPr>
                        <w:rFonts w:hint="eastAsia" w:ascii="仿宋_GB2312" w:eastAsia="仿宋_GB2312"/>
                        <w:sz w:val="32"/>
                        <w:szCs w:val="32"/>
                      </w:rPr>
                      <w:t>专业名称：</w:t>
                    </w:r>
                  </w:p>
                </w:tc>
                <w:tc>
                  <w:tcPr>
                    <w:tcW w:w="3813" w:type="dxa"/>
                    <w:vAlign w:val="center"/>
                  </w:tcPr>
                  <w:p>
                    <w:pPr>
                      <w:rPr>
                        <w:rFonts w:ascii="黑体" w:eastAsia="黑体"/>
                        <w:szCs w:val="28"/>
                        <w:u w:val="single"/>
                      </w:rPr>
                    </w:pPr>
                    <w:r>
                      <w:rPr>
                        <w:rFonts w:ascii="黑体" w:eastAsia="黑体"/>
                        <w:szCs w:val="28"/>
                        <w:u w:val="single"/>
                      </w:rPr>
                      <w:t xml:space="preserve">   </w:t>
                    </w:r>
                    <w:r>
                      <w:rPr>
                        <w:rFonts w:hint="eastAsia" w:ascii="黑体" w:eastAsia="黑体"/>
                        <w:szCs w:val="28"/>
                        <w:u w:val="single"/>
                      </w:rPr>
                      <w:t xml:space="preserve">      </w:t>
                    </w:r>
                    <w:r>
                      <w:rPr>
                        <w:rFonts w:hint="eastAsia" w:ascii="仿宋" w:hAnsi="仿宋" w:eastAsia="仿宋" w:cs="仿宋"/>
                        <w:szCs w:val="28"/>
                        <w:u w:val="single"/>
                      </w:rPr>
                      <w:t>电子商务</w:t>
                    </w:r>
                    <w:r>
                      <w:rPr>
                        <w:rFonts w:ascii="黑体" w:eastAsia="黑体"/>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eastAsia="仿宋_GB2312"/>
                        <w:sz w:val="32"/>
                        <w:szCs w:val="32"/>
                      </w:rPr>
                    </w:pPr>
                    <w:r>
                      <w:rPr>
                        <w:rFonts w:hint="eastAsia" w:ascii="仿宋_GB2312" w:eastAsia="仿宋_GB2312"/>
                        <w:sz w:val="32"/>
                        <w:szCs w:val="32"/>
                      </w:rPr>
                      <w:t>专业代码：</w:t>
                    </w:r>
                  </w:p>
                </w:tc>
                <w:tc>
                  <w:tcPr>
                    <w:tcW w:w="3813" w:type="dxa"/>
                    <w:vAlign w:val="center"/>
                  </w:tcPr>
                  <w:p>
                    <w:pPr>
                      <w:rPr>
                        <w:rFonts w:ascii="黑体" w:eastAsia="黑体"/>
                        <w:szCs w:val="28"/>
                        <w:u w:val="single"/>
                      </w:rPr>
                    </w:pPr>
                    <w:r>
                      <w:rPr>
                        <w:rFonts w:hint="eastAsia" w:ascii="黑体" w:eastAsia="黑体"/>
                        <w:szCs w:val="28"/>
                        <w:u w:val="single"/>
                      </w:rPr>
                      <w:t xml:space="preserve">         </w:t>
                    </w:r>
                    <w:r>
                      <w:rPr>
                        <w:rFonts w:hint="eastAsia" w:ascii="仿宋" w:hAnsi="仿宋" w:eastAsia="仿宋" w:cs="仿宋"/>
                        <w:szCs w:val="28"/>
                        <w:u w:val="single"/>
                      </w:rPr>
                      <w:t xml:space="preserve"> 730701 </w:t>
                    </w:r>
                    <w:r>
                      <w:rPr>
                        <w:rFonts w:hint="eastAsia" w:ascii="黑体" w:eastAsia="黑体"/>
                        <w:szCs w:val="28"/>
                        <w:u w:val="single"/>
                      </w:rPr>
                      <w:t xml:space="preserve">                     </w:t>
                    </w:r>
                    <w:r>
                      <w:rPr>
                        <w:rFonts w:ascii="黑体" w:eastAsia="黑体"/>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eastAsia="仿宋_GB2312"/>
                        <w:sz w:val="32"/>
                        <w:szCs w:val="32"/>
                      </w:rPr>
                    </w:pPr>
                    <w:r>
                      <w:rPr>
                        <w:rFonts w:hint="eastAsia" w:ascii="仿宋_GB2312" w:eastAsia="仿宋_GB2312"/>
                        <w:sz w:val="32"/>
                        <w:szCs w:val="32"/>
                      </w:rPr>
                      <w:t>专业负责人：</w:t>
                    </w:r>
                  </w:p>
                </w:tc>
                <w:tc>
                  <w:tcPr>
                    <w:tcW w:w="3813" w:type="dxa"/>
                    <w:vAlign w:val="center"/>
                  </w:tcPr>
                  <w:p>
                    <w:pPr>
                      <w:rPr>
                        <w:rFonts w:ascii="黑体" w:eastAsia="黑体"/>
                        <w:szCs w:val="28"/>
                        <w:u w:val="single"/>
                      </w:rPr>
                    </w:pPr>
                    <w:r>
                      <w:rPr>
                        <w:rFonts w:ascii="黑体" w:eastAsia="黑体"/>
                        <w:szCs w:val="28"/>
                        <w:u w:val="single"/>
                      </w:rPr>
                      <w:t xml:space="preserve">          </w:t>
                    </w:r>
                    <w:r>
                      <w:rPr>
                        <w:rFonts w:hint="eastAsia" w:ascii="仿宋" w:hAnsi="仿宋" w:eastAsia="仿宋" w:cs="仿宋"/>
                        <w:szCs w:val="28"/>
                        <w:u w:val="single"/>
                      </w:rPr>
                      <w:t xml:space="preserve"> </w:t>
                    </w:r>
                    <w:r>
                      <w:rPr>
                        <w:rFonts w:hint="eastAsia" w:ascii="仿宋" w:hAnsi="仿宋" w:eastAsia="仿宋" w:cs="仿宋"/>
                        <w:szCs w:val="28"/>
                        <w:u w:val="single"/>
                        <w:lang w:eastAsia="zh-CN"/>
                      </w:rPr>
                      <w:t>叶炜</w:t>
                    </w:r>
                    <w:r>
                      <w:rPr>
                        <w:rFonts w:hint="eastAsia" w:ascii="仿宋" w:hAnsi="仿宋" w:eastAsia="仿宋" w:cs="仿宋"/>
                        <w:szCs w:val="28"/>
                        <w:u w:val="single"/>
                      </w:rPr>
                      <w:t xml:space="preserve">   </w:t>
                    </w:r>
                    <w:r>
                      <w:rPr>
                        <w:rFonts w:ascii="黑体" w:eastAsia="黑体"/>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eastAsia="仿宋_GB2312"/>
                        <w:sz w:val="32"/>
                        <w:szCs w:val="32"/>
                      </w:rPr>
                    </w:pPr>
                    <w:r>
                      <w:rPr>
                        <w:rFonts w:hint="eastAsia" w:ascii="仿宋_GB2312" w:eastAsia="仿宋_GB2312"/>
                        <w:sz w:val="32"/>
                        <w:szCs w:val="32"/>
                      </w:rPr>
                      <w:t>执 笔 人：</w:t>
                    </w:r>
                  </w:p>
                </w:tc>
                <w:tc>
                  <w:tcPr>
                    <w:tcW w:w="3813" w:type="dxa"/>
                    <w:vAlign w:val="center"/>
                  </w:tcPr>
                  <w:p>
                    <w:pPr>
                      <w:rPr>
                        <w:rFonts w:ascii="黑体" w:eastAsia="黑体"/>
                        <w:szCs w:val="28"/>
                        <w:u w:val="single"/>
                      </w:rPr>
                    </w:pPr>
                    <w:r>
                      <w:rPr>
                        <w:rFonts w:hint="eastAsia" w:ascii="黑体" w:eastAsia="黑体"/>
                        <w:szCs w:val="28"/>
                        <w:u w:val="single"/>
                      </w:rPr>
                      <w:t xml:space="preserve">          </w:t>
                    </w:r>
                    <w:r>
                      <w:rPr>
                        <w:rFonts w:hint="eastAsia" w:ascii="仿宋" w:hAnsi="仿宋" w:eastAsia="仿宋" w:cs="仿宋"/>
                        <w:szCs w:val="28"/>
                        <w:u w:val="single"/>
                      </w:rPr>
                      <w:t>陈宇民</w:t>
                    </w:r>
                    <w:r>
                      <w:rPr>
                        <w:rFonts w:hint="eastAsia" w:ascii="黑体" w:eastAsia="黑体"/>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eastAsia="黑体"/>
                        <w:sz w:val="32"/>
                        <w:szCs w:val="32"/>
                      </w:rPr>
                    </w:pPr>
                    <w:r>
                      <w:rPr>
                        <w:rFonts w:hint="eastAsia" w:ascii="仿宋_GB2312" w:eastAsia="仿宋_GB2312"/>
                        <w:sz w:val="32"/>
                        <w:szCs w:val="32"/>
                      </w:rPr>
                      <w:t>制订时间：</w:t>
                    </w:r>
                  </w:p>
                </w:tc>
                <w:tc>
                  <w:tcPr>
                    <w:tcW w:w="3813" w:type="dxa"/>
                    <w:vAlign w:val="center"/>
                  </w:tcPr>
                  <w:p>
                    <w:pPr>
                      <w:rPr>
                        <w:rFonts w:ascii="黑体" w:eastAsia="黑体"/>
                        <w:szCs w:val="28"/>
                        <w:u w:val="single"/>
                      </w:rPr>
                    </w:pPr>
                    <w:r>
                      <w:rPr>
                        <w:rFonts w:ascii="黑体" w:eastAsia="黑体"/>
                        <w:szCs w:val="28"/>
                        <w:u w:val="single"/>
                      </w:rPr>
                      <w:t xml:space="preserve">        </w:t>
                    </w:r>
                    <w:bookmarkStart w:id="44" w:name="_GoBack"/>
                    <w:bookmarkEnd w:id="44"/>
                    <w:r>
                      <w:rPr>
                        <w:rFonts w:hint="eastAsia" w:ascii="仿宋" w:hAnsi="仿宋" w:eastAsia="仿宋" w:cs="仿宋"/>
                        <w:szCs w:val="28"/>
                        <w:u w:val="single"/>
                      </w:rPr>
                      <w:t>2021</w:t>
                    </w:r>
                    <w:r>
                      <w:rPr>
                        <w:rFonts w:hint="eastAsia" w:ascii="仿宋" w:hAnsi="仿宋" w:eastAsia="仿宋" w:cs="仿宋"/>
                        <w:szCs w:val="28"/>
                        <w:u w:val="single"/>
                        <w:lang w:eastAsia="zh-CN"/>
                      </w:rPr>
                      <w:t>年</w:t>
                    </w:r>
                    <w:r>
                      <w:rPr>
                        <w:rFonts w:hint="eastAsia" w:ascii="仿宋" w:hAnsi="仿宋" w:eastAsia="仿宋" w:cs="仿宋"/>
                        <w:szCs w:val="28"/>
                        <w:u w:val="single"/>
                      </w:rPr>
                      <w:t>6</w:t>
                    </w:r>
                    <w:r>
                      <w:rPr>
                        <w:rFonts w:hint="eastAsia" w:ascii="仿宋" w:hAnsi="仿宋" w:eastAsia="仿宋" w:cs="仿宋"/>
                        <w:szCs w:val="28"/>
                        <w:u w:val="single"/>
                        <w:lang w:eastAsia="zh-CN"/>
                      </w:rPr>
                      <w:t>月</w:t>
                    </w:r>
                    <w:r>
                      <w:rPr>
                        <w:rFonts w:ascii="黑体" w:eastAsia="黑体"/>
                        <w:szCs w:val="28"/>
                        <w:u w:val="single"/>
                      </w:rPr>
                      <w:t xml:space="preserve">            </w:t>
                    </w:r>
                    <w:r>
                      <w:rPr>
                        <w:rFonts w:hint="eastAsia" w:ascii="黑体" w:eastAsia="黑体"/>
                        <w:szCs w:val="28"/>
                        <w:u w:val="single"/>
                      </w:rPr>
                      <w:t xml:space="preserve"> </w:t>
                    </w:r>
                  </w:p>
                </w:tc>
              </w:tr>
            </w:tbl>
            <w:p>
              <w:pPr>
                <w:jc w:val="center"/>
                <w:rPr>
                  <w:rFonts w:ascii="黑体" w:eastAsia="黑体"/>
                  <w:sz w:val="52"/>
                  <w:szCs w:val="52"/>
                </w:rPr>
              </w:pPr>
            </w:p>
            <w:p>
              <w:pPr>
                <w:pStyle w:val="79"/>
                <w:rPr>
                  <w:rFonts w:ascii="Cambria" w:hAnsi="Cambria" w:eastAsia="宋体" w:cs="Times New Roman"/>
                  <w:snapToGrid w:val="0"/>
                  <w:sz w:val="72"/>
                  <w:szCs w:val="72"/>
                </w:rPr>
                <w:sectPr>
                  <w:headerReference r:id="rId3" w:type="default"/>
                  <w:footerReference r:id="rId4" w:type="default"/>
                  <w:pgSz w:w="11906" w:h="16838"/>
                  <w:pgMar w:top="1440" w:right="1797" w:bottom="1440" w:left="1797" w:header="851" w:footer="1559" w:gutter="0"/>
                  <w:cols w:space="720" w:num="1"/>
                  <w:docGrid w:type="lines" w:linePitch="381" w:charSpace="0"/>
                </w:sectPr>
              </w:pPr>
            </w:p>
            <w:sdt>
              <w:sdtPr>
                <w:rPr>
                  <w:b w:val="0"/>
                  <w:bCs w:val="0"/>
                  <w:kern w:val="0"/>
                  <w:sz w:val="28"/>
                  <w:szCs w:val="20"/>
                  <w:lang w:val="zh-CN"/>
                </w:rPr>
                <w:id w:val="-1918781587"/>
                <w:docPartObj>
                  <w:docPartGallery w:val="Table of Contents"/>
                  <w:docPartUnique/>
                </w:docPartObj>
              </w:sdtPr>
              <w:sdtEndPr>
                <w:rPr>
                  <w:rStyle w:val="21"/>
                  <w:rFonts w:ascii="黑体" w:hAnsi="Times New Roman" w:eastAsia="黑体"/>
                  <w:b w:val="0"/>
                  <w:bCs w:val="0"/>
                  <w:snapToGrid/>
                  <w:color w:val="0000FF"/>
                  <w:kern w:val="2"/>
                  <w:sz w:val="21"/>
                  <w:szCs w:val="24"/>
                  <w:u w:val="single"/>
                  <w:lang w:val="en-US"/>
                </w:rPr>
              </w:sdtEndPr>
              <w:sdtContent>
                <w:p>
                  <w:pPr>
                    <w:pStyle w:val="81"/>
                    <w:spacing w:after="240" w:line="240" w:lineRule="auto"/>
                    <w:jc w:val="center"/>
                    <w:rPr>
                      <w:rFonts w:hAnsi="Courier New"/>
                      <w:bCs w:val="0"/>
                      <w:snapToGrid/>
                      <w:kern w:val="2"/>
                    </w:rPr>
                  </w:pPr>
                  <w:r>
                    <w:rPr>
                      <w:rFonts w:hAnsi="Courier New"/>
                      <w:bCs w:val="0"/>
                      <w:snapToGrid/>
                      <w:kern w:val="2"/>
                    </w:rPr>
                    <w:t>目</w:t>
                  </w:r>
                  <w:r>
                    <w:rPr>
                      <w:rFonts w:hint="eastAsia" w:hAnsi="Courier New"/>
                      <w:bCs w:val="0"/>
                      <w:snapToGrid/>
                      <w:kern w:val="2"/>
                    </w:rPr>
                    <w:t xml:space="preserve"> </w:t>
                  </w:r>
                  <w:r>
                    <w:rPr>
                      <w:rFonts w:hAnsi="Courier New"/>
                      <w:bCs w:val="0"/>
                      <w:snapToGrid/>
                      <w:kern w:val="2"/>
                    </w:rPr>
                    <w:t>录</w:t>
                  </w:r>
                </w:p>
                <w:p>
                  <w:pPr>
                    <w:pStyle w:val="11"/>
                    <w:tabs>
                      <w:tab w:val="right" w:leader="dot" w:pos="8878"/>
                    </w:tabs>
                    <w:spacing w:line="520" w:lineRule="exact"/>
                    <w:ind w:left="0" w:leftChars="0"/>
                    <w:rPr>
                      <w:rStyle w:val="21"/>
                      <w:rFonts w:ascii="黑体" w:hAnsi="Times New Roman" w:eastAsia="黑体"/>
                      <w:snapToGrid/>
                      <w:kern w:val="2"/>
                      <w:sz w:val="21"/>
                      <w:szCs w:val="24"/>
                    </w:rPr>
                  </w:pPr>
                  <w:r>
                    <w:rPr>
                      <w:rStyle w:val="21"/>
                      <w:rFonts w:hint="eastAsia" w:ascii="黑体" w:hAnsi="Times New Roman" w:eastAsia="黑体"/>
                      <w:snapToGrid/>
                      <w:color w:val="000000" w:themeColor="text1"/>
                      <w:kern w:val="2"/>
                      <w:sz w:val="21"/>
                      <w:szCs w:val="24"/>
                      <w:u w:val="none"/>
                      <w14:textFill>
                        <w14:solidFill>
                          <w14:schemeClr w14:val="tx1"/>
                        </w14:solidFill>
                      </w14:textFill>
                    </w:rPr>
                    <w:t>一、专业名称及代码</w:t>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TOC \o "1-3" \h \z \u </w:instrText>
                  </w:r>
                  <w:r>
                    <w:rPr>
                      <w:rStyle w:val="21"/>
                      <w:rFonts w:ascii="黑体" w:hAnsi="Times New Roman" w:eastAsia="黑体"/>
                      <w:snapToGrid/>
                      <w:kern w:val="2"/>
                      <w:sz w:val="21"/>
                      <w:szCs w:val="24"/>
                    </w:rPr>
                    <w:fldChar w:fldCharType="separate"/>
                  </w:r>
                  <w:r>
                    <w:fldChar w:fldCharType="begin"/>
                  </w:r>
                  <w:r>
                    <w:instrText xml:space="preserve"> HYPERLINK \l "_Toc76052113" </w:instrText>
                  </w:r>
                  <w:r>
                    <w:fldChar w:fldCharType="separate"/>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_Toc76052113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"_Toc76052114" </w:instrText>
                  </w:r>
                  <w:r>
                    <w:fldChar w:fldCharType="separate"/>
                  </w:r>
                  <w:r>
                    <w:rPr>
                      <w:rStyle w:val="21"/>
                      <w:rFonts w:hint="eastAsia" w:ascii="黑体" w:hAnsi="Times New Roman" w:eastAsia="黑体"/>
                      <w:snapToGrid/>
                      <w:kern w:val="2"/>
                      <w:sz w:val="21"/>
                      <w:szCs w:val="24"/>
                    </w:rPr>
                    <w:t>二、入学要求</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_Toc76052114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"_Toc76052116" </w:instrText>
                  </w:r>
                  <w:r>
                    <w:fldChar w:fldCharType="separate"/>
                  </w:r>
                  <w:r>
                    <w:rPr>
                      <w:rStyle w:val="21"/>
                      <w:rFonts w:hint="eastAsia" w:ascii="黑体" w:hAnsi="Times New Roman" w:eastAsia="黑体"/>
                      <w:snapToGrid/>
                      <w:kern w:val="2"/>
                      <w:sz w:val="21"/>
                      <w:szCs w:val="24"/>
                    </w:rPr>
                    <w:t>三、修业年限</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_Toc76052116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r>
                    <w:fldChar w:fldCharType="begin"/>
                  </w:r>
                  <w:r>
                    <w:instrText xml:space="preserve"> HYPERLINK \l "_Toc76052117" </w:instrText>
                  </w:r>
                  <w:r>
                    <w:fldChar w:fldCharType="separate"/>
                  </w:r>
                  <w: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"_Toc76052118" </w:instrText>
                  </w:r>
                  <w:r>
                    <w:fldChar w:fldCharType="separate"/>
                  </w:r>
                  <w:r>
                    <w:rPr>
                      <w:rStyle w:val="21"/>
                      <w:rFonts w:hint="eastAsia" w:ascii="黑体" w:hAnsi="Times New Roman" w:eastAsia="黑体"/>
                      <w:snapToGrid/>
                      <w:kern w:val="2"/>
                      <w:sz w:val="21"/>
                      <w:szCs w:val="24"/>
                    </w:rPr>
                    <w:t>四、职业面向</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_Toc76052118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"_Toc76052119" </w:instrText>
                  </w:r>
                  <w:r>
                    <w:fldChar w:fldCharType="separate"/>
                  </w:r>
                  <w:r>
                    <w:rPr>
                      <w:rStyle w:val="21"/>
                      <w:rFonts w:hint="eastAsia" w:ascii="黑体" w:hAnsi="Times New Roman" w:eastAsia="黑体"/>
                      <w:snapToGrid/>
                      <w:kern w:val="2"/>
                      <w:sz w:val="21"/>
                      <w:szCs w:val="24"/>
                    </w:rPr>
                    <w:t>五、培养目标与培养规格</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_Toc76052119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4</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"_Toc76052120" </w:instrText>
                  </w:r>
                  <w:r>
                    <w:fldChar w:fldCharType="separate"/>
                  </w:r>
                  <w:r>
                    <w:rPr>
                      <w:rStyle w:val="21"/>
                      <w:rFonts w:hint="eastAsia" w:ascii="黑体" w:hAnsi="Times New Roman" w:eastAsia="黑体"/>
                      <w:snapToGrid/>
                      <w:kern w:val="2"/>
                      <w:sz w:val="21"/>
                      <w:szCs w:val="24"/>
                    </w:rPr>
                    <w:t>（一）培养目标</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_Toc76052120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4</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"_Toc76052122" </w:instrText>
                  </w:r>
                  <w:r>
                    <w:fldChar w:fldCharType="separate"/>
                  </w:r>
                  <w:r>
                    <w:rPr>
                      <w:rStyle w:val="21"/>
                      <w:rFonts w:hint="eastAsia" w:ascii="黑体" w:hAnsi="Times New Roman" w:eastAsia="黑体"/>
                      <w:snapToGrid/>
                      <w:kern w:val="2"/>
                      <w:sz w:val="21"/>
                      <w:szCs w:val="24"/>
                    </w:rPr>
                    <w:t>（二）培养规格</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_Toc76052122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4</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"_Toc76052124" </w:instrText>
                  </w:r>
                  <w:r>
                    <w:fldChar w:fldCharType="separate"/>
                  </w:r>
                  <w:r>
                    <w:rPr>
                      <w:rStyle w:val="21"/>
                      <w:rFonts w:hint="eastAsia" w:ascii="黑体" w:hAnsi="Times New Roman" w:eastAsia="黑体"/>
                      <w:snapToGrid/>
                      <w:kern w:val="2"/>
                      <w:sz w:val="21"/>
                      <w:szCs w:val="24"/>
                    </w:rPr>
                    <w:t>六、课程设置及要求</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_Toc76052124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7</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"_Toc76052125" </w:instrText>
                  </w:r>
                  <w:r>
                    <w:fldChar w:fldCharType="separate"/>
                  </w:r>
                  <w:r>
                    <w:rPr>
                      <w:rStyle w:val="21"/>
                      <w:rFonts w:hint="eastAsia" w:ascii="黑体" w:hAnsi="Times New Roman" w:eastAsia="黑体"/>
                      <w:snapToGrid/>
                      <w:kern w:val="2"/>
                      <w:sz w:val="21"/>
                      <w:szCs w:val="24"/>
                    </w:rPr>
                    <w:t>（一）公共基础课程</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_Toc76052125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7</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"_Toc76052126" </w:instrText>
                  </w:r>
                  <w:r>
                    <w:fldChar w:fldCharType="separate"/>
                  </w:r>
                  <w:r>
                    <w:rPr>
                      <w:rStyle w:val="21"/>
                      <w:rFonts w:hint="eastAsia" w:ascii="黑体" w:hAnsi="Times New Roman" w:eastAsia="黑体"/>
                      <w:snapToGrid/>
                      <w:kern w:val="2"/>
                      <w:sz w:val="21"/>
                      <w:szCs w:val="24"/>
                    </w:rPr>
                    <w:t>（二）专业技能课程</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_Toc76052126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13</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"_Toc76052131" </w:instrText>
                  </w:r>
                  <w:r>
                    <w:fldChar w:fldCharType="separate"/>
                  </w:r>
                  <w:r>
                    <w:rPr>
                      <w:rStyle w:val="21"/>
                      <w:rFonts w:hint="eastAsia" w:ascii="黑体" w:hAnsi="Times New Roman" w:eastAsia="黑体"/>
                      <w:snapToGrid/>
                      <w:kern w:val="2"/>
                      <w:sz w:val="21"/>
                      <w:szCs w:val="24"/>
                    </w:rPr>
                    <w:t>（三）实践教学体系设计</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_Toc76052131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27</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"_Toc76052132" </w:instrText>
                  </w:r>
                  <w:r>
                    <w:fldChar w:fldCharType="separate"/>
                  </w:r>
                  <w:r>
                    <w:rPr>
                      <w:rStyle w:val="21"/>
                      <w:rFonts w:hint="eastAsia" w:ascii="黑体" w:hAnsi="Times New Roman" w:eastAsia="黑体"/>
                      <w:snapToGrid/>
                      <w:kern w:val="2"/>
                      <w:sz w:val="21"/>
                      <w:szCs w:val="24"/>
                    </w:rPr>
                    <w:t>七、教学进程总体安排</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_Toc76052132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28</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"_Toc76052133" </w:instrText>
                  </w:r>
                  <w:r>
                    <w:fldChar w:fldCharType="separate"/>
                  </w:r>
                  <w:r>
                    <w:rPr>
                      <w:rStyle w:val="21"/>
                      <w:rFonts w:hint="eastAsia" w:ascii="黑体" w:hAnsi="Times New Roman" w:eastAsia="黑体"/>
                      <w:snapToGrid/>
                      <w:kern w:val="2"/>
                      <w:sz w:val="21"/>
                      <w:szCs w:val="24"/>
                    </w:rPr>
                    <w:t>（一）教学进程表</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_Toc76052133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28</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"_Toc76052134" </w:instrText>
                  </w:r>
                  <w:r>
                    <w:fldChar w:fldCharType="separate"/>
                  </w:r>
                  <w:r>
                    <w:rPr>
                      <w:rStyle w:val="21"/>
                      <w:rFonts w:hint="eastAsia" w:ascii="黑体" w:hAnsi="Times New Roman" w:eastAsia="黑体"/>
                      <w:snapToGrid/>
                      <w:kern w:val="2"/>
                      <w:sz w:val="21"/>
                      <w:szCs w:val="24"/>
                    </w:rPr>
                    <w:t>（二）学时学分分配</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_Toc76052134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31</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"_Toc76052135" </w:instrText>
                  </w:r>
                  <w:r>
                    <w:fldChar w:fldCharType="separate"/>
                  </w:r>
                  <w:r>
                    <w:rPr>
                      <w:rStyle w:val="21"/>
                      <w:rFonts w:hint="eastAsia" w:ascii="黑体" w:hAnsi="Times New Roman" w:eastAsia="黑体"/>
                      <w:snapToGrid/>
                      <w:kern w:val="2"/>
                      <w:sz w:val="21"/>
                      <w:szCs w:val="24"/>
                    </w:rPr>
                    <w:t>八、保障条件</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_Toc76052135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32</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"_Toc76052136" </w:instrText>
                  </w:r>
                  <w:r>
                    <w:fldChar w:fldCharType="separate"/>
                  </w:r>
                  <w:r>
                    <w:rPr>
                      <w:rStyle w:val="21"/>
                      <w:rFonts w:hint="eastAsia" w:ascii="黑体" w:hAnsi="Times New Roman" w:eastAsia="黑体"/>
                      <w:snapToGrid/>
                      <w:kern w:val="2"/>
                      <w:sz w:val="21"/>
                      <w:szCs w:val="24"/>
                    </w:rPr>
                    <w:t>（一）师资队伍</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_Toc76052136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32</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"_Toc76052137" </w:instrText>
                  </w:r>
                  <w:r>
                    <w:fldChar w:fldCharType="separate"/>
                  </w:r>
                  <w:r>
                    <w:rPr>
                      <w:rStyle w:val="21"/>
                      <w:rFonts w:hint="eastAsia" w:ascii="黑体" w:hAnsi="Times New Roman" w:eastAsia="黑体"/>
                      <w:snapToGrid/>
                      <w:kern w:val="2"/>
                      <w:sz w:val="21"/>
                      <w:szCs w:val="24"/>
                    </w:rPr>
                    <w:t>（二）教学实施</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_Toc76052137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32</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"_Toc76052138" </w:instrText>
                  </w:r>
                  <w:r>
                    <w:fldChar w:fldCharType="separate"/>
                  </w:r>
                  <w:r>
                    <w:rPr>
                      <w:rStyle w:val="21"/>
                      <w:rFonts w:hint="eastAsia" w:ascii="黑体" w:hAnsi="Times New Roman" w:eastAsia="黑体"/>
                      <w:snapToGrid/>
                      <w:kern w:val="2"/>
                      <w:sz w:val="21"/>
                      <w:szCs w:val="24"/>
                    </w:rPr>
                    <w:t>（三）教学资源</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_Toc76052138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34</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"_Toc76052139" </w:instrText>
                  </w:r>
                  <w:r>
                    <w:fldChar w:fldCharType="separate"/>
                  </w:r>
                  <w:r>
                    <w:rPr>
                      <w:rStyle w:val="21"/>
                      <w:rFonts w:hint="eastAsia" w:ascii="黑体" w:hAnsi="Times New Roman" w:eastAsia="黑体"/>
                      <w:snapToGrid/>
                      <w:kern w:val="2"/>
                      <w:sz w:val="21"/>
                      <w:szCs w:val="24"/>
                    </w:rPr>
                    <w:t>（四）教学方法</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_Toc76052139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35</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"_Toc76052140" </w:instrText>
                  </w:r>
                  <w:r>
                    <w:fldChar w:fldCharType="separate"/>
                  </w:r>
                  <w:r>
                    <w:rPr>
                      <w:rStyle w:val="21"/>
                      <w:rFonts w:hint="eastAsia" w:ascii="黑体" w:hAnsi="Times New Roman" w:eastAsia="黑体"/>
                      <w:snapToGrid/>
                      <w:kern w:val="2"/>
                      <w:sz w:val="21"/>
                      <w:szCs w:val="24"/>
                    </w:rPr>
                    <w:t>（五）学习评价</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_Toc76052140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36</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pPr>
                  <w:r>
                    <w:fldChar w:fldCharType="begin"/>
                  </w:r>
                  <w:r>
                    <w:instrText xml:space="preserve"> HYPERLINK \l "_Toc76052142" </w:instrText>
                  </w:r>
                  <w:r>
                    <w:fldChar w:fldCharType="separate"/>
                  </w:r>
                  <w:r>
                    <w:rPr>
                      <w:rStyle w:val="21"/>
                      <w:rFonts w:hint="eastAsia" w:ascii="黑体" w:hAnsi="Times New Roman" w:eastAsia="黑体"/>
                      <w:snapToGrid/>
                      <w:kern w:val="2"/>
                      <w:sz w:val="21"/>
                      <w:szCs w:val="24"/>
                    </w:rPr>
                    <w:t>（六）质量管理</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_Toc76052142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38</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p>
                  <w:pPr>
                    <w:pStyle w:val="11"/>
                    <w:tabs>
                      <w:tab w:val="right" w:leader="dot" w:pos="8878"/>
                    </w:tabs>
                    <w:spacing w:line="520" w:lineRule="exact"/>
                    <w:ind w:left="0" w:leftChars="0"/>
                    <w:rPr>
                      <w:rStyle w:val="21"/>
                      <w:rFonts w:ascii="黑体" w:hAnsi="Times New Roman" w:eastAsia="黑体"/>
                      <w:snapToGrid/>
                      <w:kern w:val="2"/>
                      <w:sz w:val="21"/>
                      <w:szCs w:val="24"/>
                    </w:rPr>
                    <w:sectPr>
                      <w:pgSz w:w="11906" w:h="16838"/>
                      <w:pgMar w:top="1440" w:right="1797" w:bottom="1440" w:left="1797" w:header="851" w:footer="1559" w:gutter="0"/>
                      <w:cols w:space="720" w:num="1"/>
                      <w:docGrid w:type="lines" w:linePitch="381" w:charSpace="0"/>
                    </w:sectPr>
                  </w:pPr>
                  <w:r>
                    <w:fldChar w:fldCharType="begin"/>
                  </w:r>
                  <w:r>
                    <w:instrText xml:space="preserve"> HYPERLINK \l "_Toc76052154" </w:instrText>
                  </w:r>
                  <w:r>
                    <w:fldChar w:fldCharType="separate"/>
                  </w:r>
                  <w:r>
                    <w:rPr>
                      <w:rStyle w:val="21"/>
                      <w:rFonts w:hint="eastAsia" w:ascii="黑体" w:hAnsi="Times New Roman" w:eastAsia="黑体"/>
                      <w:snapToGrid/>
                      <w:kern w:val="2"/>
                      <w:sz w:val="21"/>
                      <w:szCs w:val="24"/>
                    </w:rPr>
                    <w:t>九、毕业条件</w:t>
                  </w:r>
                  <w:r>
                    <w:rPr>
                      <w:rStyle w:val="21"/>
                      <w:rFonts w:ascii="黑体" w:hAnsi="Times New Roman" w:eastAsia="黑体"/>
                      <w:snapToGrid/>
                      <w:kern w:val="2"/>
                      <w:sz w:val="21"/>
                      <w:szCs w:val="24"/>
                    </w:rPr>
                    <w:tab/>
                  </w:r>
                  <w:r>
                    <w:rPr>
                      <w:rStyle w:val="21"/>
                      <w:rFonts w:ascii="黑体" w:hAnsi="Times New Roman" w:eastAsia="黑体"/>
                      <w:snapToGrid/>
                      <w:kern w:val="2"/>
                      <w:sz w:val="21"/>
                      <w:szCs w:val="24"/>
                    </w:rPr>
                    <w:fldChar w:fldCharType="begin"/>
                  </w:r>
                  <w:r>
                    <w:rPr>
                      <w:rStyle w:val="21"/>
                      <w:rFonts w:ascii="黑体" w:hAnsi="Times New Roman" w:eastAsia="黑体"/>
                      <w:snapToGrid/>
                      <w:kern w:val="2"/>
                      <w:sz w:val="21"/>
                      <w:szCs w:val="24"/>
                    </w:rPr>
                    <w:instrText xml:space="preserve"> PAGEREF _Toc76052154 \h </w:instrText>
                  </w:r>
                  <w:r>
                    <w:rPr>
                      <w:rStyle w:val="21"/>
                      <w:rFonts w:ascii="黑体" w:hAnsi="Times New Roman" w:eastAsia="黑体"/>
                      <w:snapToGrid/>
                      <w:kern w:val="2"/>
                      <w:sz w:val="21"/>
                      <w:szCs w:val="24"/>
                    </w:rPr>
                    <w:fldChar w:fldCharType="separate"/>
                  </w:r>
                  <w:r>
                    <w:rPr>
                      <w:rStyle w:val="21"/>
                      <w:rFonts w:ascii="黑体" w:hAnsi="Times New Roman" w:eastAsia="黑体"/>
                      <w:snapToGrid/>
                      <w:kern w:val="2"/>
                      <w:sz w:val="21"/>
                      <w:szCs w:val="24"/>
                    </w:rPr>
                    <w:t>39</w:t>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r>
                    <w:rPr>
                      <w:rStyle w:val="21"/>
                      <w:rFonts w:ascii="黑体" w:hAnsi="Times New Roman" w:eastAsia="黑体"/>
                      <w:snapToGrid/>
                      <w:kern w:val="2"/>
                      <w:sz w:val="21"/>
                      <w:szCs w:val="24"/>
                    </w:rPr>
                    <w:fldChar w:fldCharType="end"/>
                  </w:r>
                </w:p>
              </w:sdtContent>
            </w:sdt>
            <w:p>
              <w:pPr>
                <w:pStyle w:val="10"/>
              </w:pPr>
            </w:p>
          </w:sdtContent>
        </w:sdt>
      </w:sdtContent>
    </w:sdt>
    <w:p>
      <w:pPr>
        <w:spacing w:line="600" w:lineRule="exact"/>
        <w:outlineLvl w:val="0"/>
        <w:rPr>
          <w:rFonts w:ascii="黑体" w:hAnsi="黑体" w:eastAsia="黑体" w:cs="黑体"/>
          <w:sz w:val="32"/>
          <w:szCs w:val="32"/>
        </w:rPr>
      </w:pPr>
      <w:r>
        <w:rPr>
          <w:rFonts w:hint="eastAsia" w:ascii="黑体" w:hAnsi="黑体" w:eastAsia="黑体" w:cs="黑体"/>
          <w:sz w:val="32"/>
          <w:szCs w:val="32"/>
        </w:rPr>
        <w:t>一、专业名称及代码</w:t>
      </w:r>
    </w:p>
    <w:p>
      <w:pPr>
        <w:pStyle w:val="13"/>
        <w:tabs>
          <w:tab w:val="center" w:pos="4153"/>
        </w:tabs>
        <w:spacing w:before="0" w:after="0" w:line="600" w:lineRule="exact"/>
        <w:ind w:firstLine="552" w:firstLineChars="200"/>
        <w:jc w:val="left"/>
        <w:outlineLvl w:val="9"/>
        <w:rPr>
          <w:rFonts w:ascii="宋体" w:hAnsi="宋体" w:cs="宋体"/>
          <w:b w:val="0"/>
          <w:spacing w:val="-2"/>
        </w:rPr>
      </w:pPr>
      <w:bookmarkStart w:id="0" w:name="_Toc76052113"/>
      <w:r>
        <w:rPr>
          <w:rFonts w:hint="eastAsia" w:ascii="宋体" w:hAnsi="宋体" w:cs="宋体"/>
          <w:b w:val="0"/>
          <w:spacing w:val="-2"/>
          <w:sz w:val="28"/>
          <w:szCs w:val="28"/>
        </w:rPr>
        <w:t>电子商务（730701</w:t>
      </w:r>
      <w:r>
        <w:rPr>
          <w:rFonts w:hint="eastAsia" w:ascii="宋体" w:hAnsi="宋体" w:cs="宋体"/>
          <w:b w:val="0"/>
          <w:spacing w:val="-2"/>
        </w:rPr>
        <w:t>）</w:t>
      </w:r>
      <w:bookmarkEnd w:id="0"/>
    </w:p>
    <w:p>
      <w:pPr>
        <w:spacing w:line="600" w:lineRule="exact"/>
        <w:outlineLvl w:val="0"/>
        <w:rPr>
          <w:rFonts w:ascii="黑体" w:hAnsi="黑体" w:eastAsia="黑体" w:cs="黑体"/>
          <w:sz w:val="32"/>
          <w:szCs w:val="32"/>
        </w:rPr>
      </w:pPr>
      <w:bookmarkStart w:id="1" w:name="_Toc76052114"/>
      <w:r>
        <w:rPr>
          <w:rFonts w:hint="eastAsia" w:ascii="黑体" w:hAnsi="黑体" w:eastAsia="黑体" w:cs="黑体"/>
          <w:sz w:val="32"/>
          <w:szCs w:val="32"/>
        </w:rPr>
        <w:t>二、入学要求</w:t>
      </w:r>
      <w:bookmarkEnd w:id="1"/>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2" w:name="_Toc76052115"/>
      <w:r>
        <w:rPr>
          <w:rFonts w:hint="eastAsia" w:ascii="宋体" w:hAnsi="宋体" w:cs="宋体"/>
          <w:b w:val="0"/>
          <w:spacing w:val="-2"/>
          <w:sz w:val="28"/>
          <w:szCs w:val="28"/>
        </w:rPr>
        <w:t>岳阳市应届初中毕业生或具备同等学历者（初中毕业水平考试成绩达到相应要求）</w:t>
      </w:r>
      <w:bookmarkEnd w:id="2"/>
    </w:p>
    <w:p>
      <w:pPr>
        <w:spacing w:line="600" w:lineRule="exact"/>
        <w:outlineLvl w:val="0"/>
        <w:rPr>
          <w:rFonts w:ascii="黑体" w:hAnsi="黑体" w:eastAsia="黑体" w:cs="黑体"/>
          <w:sz w:val="32"/>
          <w:szCs w:val="32"/>
        </w:rPr>
      </w:pPr>
      <w:bookmarkStart w:id="3" w:name="_Toc76052116"/>
      <w:r>
        <w:rPr>
          <w:rFonts w:hint="eastAsia" w:ascii="黑体" w:hAnsi="黑体" w:eastAsia="黑体" w:cs="黑体"/>
          <w:sz w:val="32"/>
          <w:szCs w:val="32"/>
        </w:rPr>
        <w:t>三、修业年限</w:t>
      </w:r>
      <w:bookmarkEnd w:id="3"/>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4" w:name="_Toc76052117"/>
      <w:r>
        <w:rPr>
          <w:rFonts w:hint="eastAsia" w:ascii="宋体" w:hAnsi="宋体" w:cs="宋体"/>
          <w:b w:val="0"/>
          <w:spacing w:val="-2"/>
          <w:sz w:val="28"/>
          <w:szCs w:val="28"/>
        </w:rPr>
        <w:t>3年</w:t>
      </w:r>
      <w:bookmarkEnd w:id="4"/>
    </w:p>
    <w:p>
      <w:pPr>
        <w:spacing w:line="600" w:lineRule="exact"/>
        <w:outlineLvl w:val="0"/>
        <w:rPr>
          <w:rFonts w:ascii="黑体" w:hAnsi="黑体" w:eastAsia="黑体" w:cs="黑体"/>
          <w:sz w:val="32"/>
          <w:szCs w:val="32"/>
        </w:rPr>
      </w:pPr>
      <w:bookmarkStart w:id="5" w:name="_Toc76052118"/>
      <w:r>
        <w:rPr>
          <w:rFonts w:hint="eastAsia" w:ascii="黑体" w:hAnsi="黑体" w:eastAsia="黑体" w:cs="黑体"/>
          <w:sz w:val="32"/>
          <w:szCs w:val="32"/>
        </w:rPr>
        <w:t>四、职业面向</w:t>
      </w:r>
      <w:bookmarkEnd w:id="5"/>
    </w:p>
    <w:p>
      <w:pPr>
        <w:spacing w:before="190" w:beforeLines="50"/>
        <w:ind w:firstLine="482" w:firstLineChars="200"/>
        <w:jc w:val="center"/>
        <w:rPr>
          <w:rFonts w:ascii="仿宋" w:hAnsi="仿宋" w:eastAsia="仿宋"/>
          <w:b/>
          <w:sz w:val="24"/>
          <w:szCs w:val="24"/>
        </w:rPr>
      </w:pPr>
      <w:r>
        <w:rPr>
          <w:rFonts w:hint="eastAsia" w:cs="宋体"/>
          <w:b/>
          <w:sz w:val="24"/>
          <w:szCs w:val="24"/>
        </w:rPr>
        <w:t xml:space="preserve">表4-1 </w:t>
      </w:r>
      <w:r>
        <w:rPr>
          <w:rFonts w:hint="eastAsia" w:cs="宋体"/>
          <w:sz w:val="24"/>
          <w:szCs w:val="24"/>
        </w:rPr>
        <w:t>电子商务专业职业岗位</w:t>
      </w:r>
    </w:p>
    <w:tbl>
      <w:tblPr>
        <w:tblStyle w:val="15"/>
        <w:tblW w:w="9078" w:type="dxa"/>
        <w:jc w:val="center"/>
        <w:tblLayout w:type="fixed"/>
        <w:tblCellMar>
          <w:top w:w="0" w:type="dxa"/>
          <w:left w:w="0" w:type="dxa"/>
          <w:bottom w:w="0" w:type="dxa"/>
          <w:right w:w="0" w:type="dxa"/>
        </w:tblCellMar>
      </w:tblPr>
      <w:tblGrid>
        <w:gridCol w:w="1001"/>
        <w:gridCol w:w="1134"/>
        <w:gridCol w:w="1516"/>
        <w:gridCol w:w="1701"/>
        <w:gridCol w:w="1886"/>
        <w:gridCol w:w="1840"/>
      </w:tblGrid>
      <w:tr>
        <w:tblPrEx>
          <w:tblCellMar>
            <w:top w:w="0" w:type="dxa"/>
            <w:left w:w="0" w:type="dxa"/>
            <w:bottom w:w="0" w:type="dxa"/>
            <w:right w:w="0" w:type="dxa"/>
          </w:tblCellMar>
        </w:tblPrEx>
        <w:trPr>
          <w:trHeight w:val="1368" w:hRule="atLeast"/>
          <w:tblHeader/>
          <w:jc w:val="center"/>
        </w:trPr>
        <w:tc>
          <w:tcPr>
            <w:tcW w:w="1001" w:type="dxa"/>
            <w:tcBorders>
              <w:top w:val="single" w:color="auto" w:sz="6" w:space="0"/>
              <w:left w:val="single" w:color="auto" w:sz="6" w:space="0"/>
              <w:bottom w:val="single" w:color="auto" w:sz="6" w:space="0"/>
              <w:right w:val="single" w:color="auto" w:sz="6" w:space="0"/>
            </w:tcBorders>
            <w:shd w:val="clear" w:color="auto" w:fill="EAEAEA"/>
            <w:vAlign w:val="center"/>
          </w:tcPr>
          <w:p>
            <w:pPr>
              <w:widowControl/>
              <w:jc w:val="center"/>
              <w:rPr>
                <w:rFonts w:cs="宋体"/>
                <w:b/>
                <w:sz w:val="21"/>
                <w:szCs w:val="21"/>
              </w:rPr>
            </w:pPr>
            <w:r>
              <w:rPr>
                <w:rFonts w:hint="eastAsia" w:cs="宋体"/>
                <w:b/>
                <w:sz w:val="21"/>
                <w:szCs w:val="21"/>
              </w:rPr>
              <w:t>所属专业大类</w:t>
            </w:r>
          </w:p>
        </w:tc>
        <w:tc>
          <w:tcPr>
            <w:tcW w:w="1134" w:type="dxa"/>
            <w:tcBorders>
              <w:top w:val="single" w:color="auto" w:sz="6" w:space="0"/>
              <w:left w:val="single" w:color="auto" w:sz="6" w:space="0"/>
              <w:bottom w:val="single" w:color="auto" w:sz="6" w:space="0"/>
              <w:right w:val="single" w:color="auto" w:sz="6" w:space="0"/>
            </w:tcBorders>
            <w:shd w:val="clear" w:color="auto" w:fill="EAEAEA"/>
            <w:vAlign w:val="center"/>
          </w:tcPr>
          <w:p>
            <w:pPr>
              <w:widowControl/>
              <w:jc w:val="center"/>
              <w:rPr>
                <w:rFonts w:cs="宋体"/>
                <w:b/>
                <w:sz w:val="21"/>
                <w:szCs w:val="21"/>
              </w:rPr>
            </w:pPr>
            <w:r>
              <w:rPr>
                <w:rFonts w:hint="eastAsia" w:cs="宋体"/>
                <w:b/>
                <w:sz w:val="21"/>
                <w:szCs w:val="21"/>
              </w:rPr>
              <w:t>所属专业类</w:t>
            </w:r>
          </w:p>
        </w:tc>
        <w:tc>
          <w:tcPr>
            <w:tcW w:w="1516" w:type="dxa"/>
            <w:tcBorders>
              <w:top w:val="single" w:color="auto" w:sz="6" w:space="0"/>
              <w:left w:val="single" w:color="auto" w:sz="6" w:space="0"/>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cs="宋体"/>
                <w:b/>
                <w:sz w:val="21"/>
                <w:szCs w:val="21"/>
              </w:rPr>
            </w:pPr>
            <w:r>
              <w:rPr>
                <w:rFonts w:hint="eastAsia" w:cs="宋体"/>
                <w:b/>
                <w:sz w:val="21"/>
                <w:szCs w:val="21"/>
              </w:rPr>
              <w:t>对应行业</w:t>
            </w:r>
          </w:p>
        </w:tc>
        <w:tc>
          <w:tcPr>
            <w:tcW w:w="1701"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cs="宋体"/>
                <w:b/>
                <w:sz w:val="21"/>
                <w:szCs w:val="21"/>
              </w:rPr>
            </w:pPr>
            <w:r>
              <w:rPr>
                <w:rFonts w:hint="eastAsia" w:cs="宋体"/>
                <w:b/>
                <w:sz w:val="21"/>
                <w:szCs w:val="21"/>
              </w:rPr>
              <w:t>主要职业类别</w:t>
            </w:r>
          </w:p>
        </w:tc>
        <w:tc>
          <w:tcPr>
            <w:tcW w:w="1886"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cs="宋体"/>
                <w:b/>
                <w:sz w:val="21"/>
                <w:szCs w:val="21"/>
              </w:rPr>
            </w:pPr>
            <w:r>
              <w:rPr>
                <w:rFonts w:hint="eastAsia" w:cs="宋体"/>
                <w:b/>
                <w:sz w:val="21"/>
                <w:szCs w:val="21"/>
              </w:rPr>
              <w:t>主要岗位类别（或技术领域）举例</w:t>
            </w:r>
          </w:p>
        </w:tc>
        <w:tc>
          <w:tcPr>
            <w:tcW w:w="1840"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cs="宋体"/>
                <w:b/>
                <w:sz w:val="21"/>
                <w:szCs w:val="21"/>
              </w:rPr>
            </w:pPr>
            <w:r>
              <w:rPr>
                <w:rFonts w:hint="eastAsia" w:cs="宋体"/>
                <w:b/>
                <w:sz w:val="21"/>
                <w:szCs w:val="21"/>
              </w:rPr>
              <w:t>职业资格（职业技能等级）证书举例</w:t>
            </w:r>
          </w:p>
        </w:tc>
      </w:tr>
      <w:tr>
        <w:tblPrEx>
          <w:tblCellMar>
            <w:top w:w="0" w:type="dxa"/>
            <w:left w:w="0" w:type="dxa"/>
            <w:bottom w:w="0" w:type="dxa"/>
            <w:right w:w="0" w:type="dxa"/>
          </w:tblCellMar>
        </w:tblPrEx>
        <w:trPr>
          <w:trHeight w:val="3462" w:hRule="atLeast"/>
          <w:jc w:val="center"/>
        </w:trPr>
        <w:tc>
          <w:tcPr>
            <w:tcW w:w="1001" w:type="dxa"/>
            <w:tcBorders>
              <w:top w:val="nil"/>
              <w:left w:val="single" w:color="auto" w:sz="6" w:space="0"/>
              <w:bottom w:val="single" w:color="auto" w:sz="6" w:space="0"/>
              <w:right w:val="single" w:color="auto" w:sz="6" w:space="0"/>
            </w:tcBorders>
            <w:vAlign w:val="center"/>
          </w:tcPr>
          <w:p>
            <w:pPr>
              <w:widowControl/>
              <w:jc w:val="left"/>
              <w:rPr>
                <w:rFonts w:cs="宋体"/>
                <w:sz w:val="21"/>
                <w:szCs w:val="21"/>
              </w:rPr>
            </w:pPr>
            <w:r>
              <w:rPr>
                <w:rFonts w:hint="eastAsia" w:cs="宋体"/>
                <w:sz w:val="21"/>
                <w:szCs w:val="21"/>
              </w:rPr>
              <w:t>财经商贸大类（73）</w:t>
            </w:r>
          </w:p>
        </w:tc>
        <w:tc>
          <w:tcPr>
            <w:tcW w:w="1134" w:type="dxa"/>
            <w:tcBorders>
              <w:top w:val="nil"/>
              <w:left w:val="single" w:color="auto" w:sz="6" w:space="0"/>
              <w:bottom w:val="single" w:color="auto" w:sz="6" w:space="0"/>
              <w:right w:val="single" w:color="auto" w:sz="6" w:space="0"/>
            </w:tcBorders>
            <w:vAlign w:val="center"/>
          </w:tcPr>
          <w:p>
            <w:pPr>
              <w:widowControl/>
              <w:wordWrap w:val="0"/>
              <w:jc w:val="left"/>
              <w:rPr>
                <w:rFonts w:cs="宋体"/>
                <w:sz w:val="21"/>
                <w:szCs w:val="21"/>
              </w:rPr>
            </w:pPr>
            <w:r>
              <w:rPr>
                <w:rFonts w:hint="eastAsia" w:cs="宋体"/>
                <w:sz w:val="21"/>
                <w:szCs w:val="21"/>
              </w:rPr>
              <w:t>电子商务类（7307）</w:t>
            </w:r>
          </w:p>
        </w:tc>
        <w:tc>
          <w:tcPr>
            <w:tcW w:w="1516" w:type="dxa"/>
            <w:tcBorders>
              <w:top w:val="nil"/>
              <w:left w:val="single" w:color="auto" w:sz="6" w:space="0"/>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left"/>
              <w:rPr>
                <w:rFonts w:cs="宋体"/>
                <w:sz w:val="21"/>
                <w:szCs w:val="21"/>
              </w:rPr>
            </w:pPr>
            <w:r>
              <w:rPr>
                <w:rFonts w:hint="eastAsia" w:cs="宋体"/>
                <w:sz w:val="21"/>
                <w:szCs w:val="21"/>
              </w:rPr>
              <w:t>批发和零售业-零售业-货摊、无店铺及其他零售业-互联网零售</w:t>
            </w:r>
          </w:p>
        </w:tc>
        <w:tc>
          <w:tcPr>
            <w:tcW w:w="1701"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left"/>
              <w:rPr>
                <w:rFonts w:cs="宋体"/>
                <w:sz w:val="21"/>
                <w:szCs w:val="21"/>
              </w:rPr>
            </w:pPr>
            <w:r>
              <w:rPr>
                <w:rFonts w:hint="eastAsia" w:cs="宋体"/>
                <w:sz w:val="21"/>
                <w:szCs w:val="21"/>
              </w:rPr>
              <w:t>社会生产服务和生活服务人员-批发和零售服务人员-电子商务师</w:t>
            </w:r>
          </w:p>
          <w:p>
            <w:pPr>
              <w:widowControl/>
              <w:jc w:val="left"/>
              <w:rPr>
                <w:rFonts w:cs="宋体"/>
                <w:sz w:val="21"/>
                <w:szCs w:val="21"/>
              </w:rPr>
            </w:pPr>
          </w:p>
        </w:tc>
        <w:tc>
          <w:tcPr>
            <w:tcW w:w="1886"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center"/>
              <w:rPr>
                <w:rFonts w:cs="宋体"/>
                <w:sz w:val="21"/>
                <w:szCs w:val="21"/>
              </w:rPr>
            </w:pPr>
            <w:r>
              <w:rPr>
                <w:rFonts w:hint="eastAsia" w:cs="宋体"/>
                <w:sz w:val="21"/>
                <w:szCs w:val="21"/>
              </w:rPr>
              <w:t>网店运营</w:t>
            </w:r>
          </w:p>
          <w:p>
            <w:pPr>
              <w:widowControl/>
              <w:wordWrap w:val="0"/>
              <w:jc w:val="center"/>
              <w:rPr>
                <w:rFonts w:cs="宋体"/>
                <w:sz w:val="21"/>
                <w:szCs w:val="21"/>
              </w:rPr>
            </w:pPr>
            <w:r>
              <w:rPr>
                <w:rFonts w:hint="eastAsia" w:cs="宋体"/>
                <w:sz w:val="21"/>
                <w:szCs w:val="21"/>
              </w:rPr>
              <w:t>网络营销</w:t>
            </w:r>
          </w:p>
          <w:p>
            <w:pPr>
              <w:widowControl/>
              <w:wordWrap w:val="0"/>
              <w:jc w:val="center"/>
              <w:rPr>
                <w:rFonts w:cs="宋体"/>
                <w:sz w:val="21"/>
                <w:szCs w:val="21"/>
              </w:rPr>
            </w:pPr>
            <w:r>
              <w:rPr>
                <w:rFonts w:hint="eastAsia" w:cs="宋体"/>
                <w:sz w:val="21"/>
                <w:szCs w:val="21"/>
              </w:rPr>
              <w:t>网络客服</w:t>
            </w:r>
          </w:p>
          <w:p>
            <w:pPr>
              <w:widowControl/>
              <w:wordWrap w:val="0"/>
              <w:jc w:val="center"/>
              <w:rPr>
                <w:rFonts w:cs="宋体"/>
                <w:sz w:val="21"/>
                <w:szCs w:val="21"/>
              </w:rPr>
            </w:pPr>
            <w:r>
              <w:rPr>
                <w:rFonts w:hint="eastAsia" w:cs="宋体"/>
                <w:sz w:val="21"/>
                <w:szCs w:val="21"/>
              </w:rPr>
              <w:t>网站（店）美工等</w:t>
            </w:r>
          </w:p>
        </w:tc>
        <w:tc>
          <w:tcPr>
            <w:tcW w:w="1840"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center"/>
              <w:rPr>
                <w:rFonts w:cs="宋体"/>
                <w:sz w:val="21"/>
                <w:szCs w:val="21"/>
              </w:rPr>
            </w:pPr>
            <w:r>
              <w:rPr>
                <w:rFonts w:hint="eastAsia" w:cs="宋体"/>
                <w:sz w:val="21"/>
                <w:szCs w:val="21"/>
              </w:rPr>
              <w:t>商务数据分析</w:t>
            </w:r>
          </w:p>
          <w:p>
            <w:pPr>
              <w:widowControl/>
              <w:wordWrap w:val="0"/>
              <w:jc w:val="center"/>
              <w:rPr>
                <w:rFonts w:cs="宋体"/>
                <w:sz w:val="21"/>
                <w:szCs w:val="21"/>
              </w:rPr>
            </w:pPr>
            <w:r>
              <w:rPr>
                <w:rFonts w:hint="eastAsia" w:cs="宋体"/>
                <w:sz w:val="21"/>
                <w:szCs w:val="21"/>
              </w:rPr>
              <w:t>网店运营推广</w:t>
            </w:r>
          </w:p>
          <w:p>
            <w:pPr>
              <w:widowControl/>
              <w:wordWrap w:val="0"/>
              <w:jc w:val="center"/>
              <w:rPr>
                <w:rFonts w:cs="宋体"/>
                <w:sz w:val="21"/>
                <w:szCs w:val="21"/>
              </w:rPr>
            </w:pPr>
            <w:r>
              <w:rPr>
                <w:rFonts w:hint="eastAsia" w:cs="宋体"/>
                <w:sz w:val="21"/>
                <w:szCs w:val="21"/>
              </w:rPr>
              <w:t>跨境电商</w:t>
            </w:r>
          </w:p>
          <w:p>
            <w:pPr>
              <w:widowControl/>
              <w:wordWrap w:val="0"/>
              <w:jc w:val="center"/>
              <w:rPr>
                <w:rFonts w:cs="宋体"/>
                <w:sz w:val="21"/>
                <w:szCs w:val="21"/>
              </w:rPr>
            </w:pPr>
            <w:r>
              <w:rPr>
                <w:rFonts w:hint="eastAsia" w:cs="宋体"/>
                <w:sz w:val="21"/>
                <w:szCs w:val="21"/>
              </w:rPr>
              <w:t>阿里巴巴电商人才认证等证书</w:t>
            </w:r>
          </w:p>
        </w:tc>
      </w:tr>
    </w:tbl>
    <w:p>
      <w:pPr>
        <w:pageBreakBefore/>
        <w:spacing w:before="190" w:beforeLines="50"/>
        <w:ind w:firstLine="482" w:firstLineChars="200"/>
        <w:jc w:val="center"/>
        <w:rPr>
          <w:rFonts w:cs="宋体"/>
          <w:sz w:val="24"/>
          <w:szCs w:val="24"/>
        </w:rPr>
      </w:pPr>
      <w:r>
        <w:rPr>
          <w:rFonts w:hint="eastAsia" w:cs="宋体"/>
          <w:b/>
          <w:sz w:val="24"/>
          <w:szCs w:val="24"/>
        </w:rPr>
        <w:t xml:space="preserve">表4-2 </w:t>
      </w:r>
      <w:r>
        <w:rPr>
          <w:rFonts w:hint="eastAsia" w:cs="宋体"/>
          <w:sz w:val="24"/>
          <w:szCs w:val="24"/>
        </w:rPr>
        <w:t xml:space="preserve"> 电子商务专业可获取的职业资格证书</w:t>
      </w:r>
    </w:p>
    <w:tbl>
      <w:tblPr>
        <w:tblStyle w:val="15"/>
        <w:tblW w:w="847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2"/>
        <w:gridCol w:w="3701"/>
        <w:gridCol w:w="1930"/>
        <w:gridCol w:w="1118"/>
        <w:gridCol w:w="92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2" w:hRule="atLeast"/>
          <w:tblHeader/>
        </w:trPr>
        <w:tc>
          <w:tcPr>
            <w:tcW w:w="802" w:type="dxa"/>
            <w:shd w:val="clear" w:color="auto" w:fill="EAEAEA"/>
            <w:vAlign w:val="center"/>
          </w:tcPr>
          <w:p>
            <w:pPr>
              <w:jc w:val="center"/>
              <w:rPr>
                <w:rFonts w:cs="宋体"/>
                <w:b/>
                <w:sz w:val="21"/>
                <w:szCs w:val="21"/>
              </w:rPr>
            </w:pPr>
            <w:r>
              <w:rPr>
                <w:rFonts w:hint="eastAsia" w:cs="宋体"/>
                <w:b/>
                <w:sz w:val="21"/>
                <w:szCs w:val="21"/>
              </w:rPr>
              <w:t>序号</w:t>
            </w:r>
          </w:p>
        </w:tc>
        <w:tc>
          <w:tcPr>
            <w:tcW w:w="3701" w:type="dxa"/>
            <w:shd w:val="clear" w:color="auto" w:fill="EAEAEA"/>
            <w:vAlign w:val="center"/>
          </w:tcPr>
          <w:p>
            <w:pPr>
              <w:jc w:val="center"/>
              <w:rPr>
                <w:rFonts w:cs="宋体"/>
                <w:b/>
                <w:sz w:val="21"/>
                <w:szCs w:val="21"/>
              </w:rPr>
            </w:pPr>
            <w:r>
              <w:rPr>
                <w:rFonts w:hint="eastAsia" w:cs="宋体"/>
                <w:b/>
                <w:sz w:val="21"/>
                <w:szCs w:val="21"/>
              </w:rPr>
              <w:t>证书名称</w:t>
            </w:r>
          </w:p>
        </w:tc>
        <w:tc>
          <w:tcPr>
            <w:tcW w:w="1930" w:type="dxa"/>
            <w:shd w:val="clear" w:color="auto" w:fill="EAEAEA"/>
            <w:vAlign w:val="center"/>
          </w:tcPr>
          <w:p>
            <w:pPr>
              <w:jc w:val="center"/>
              <w:rPr>
                <w:rFonts w:cs="宋体"/>
                <w:b/>
                <w:sz w:val="21"/>
                <w:szCs w:val="21"/>
              </w:rPr>
            </w:pPr>
            <w:r>
              <w:rPr>
                <w:rFonts w:hint="eastAsia" w:cs="宋体"/>
                <w:b/>
                <w:sz w:val="21"/>
                <w:szCs w:val="21"/>
              </w:rPr>
              <w:t>颁证单位</w:t>
            </w:r>
          </w:p>
        </w:tc>
        <w:tc>
          <w:tcPr>
            <w:tcW w:w="1118" w:type="dxa"/>
            <w:shd w:val="clear" w:color="auto" w:fill="EAEAEA"/>
            <w:vAlign w:val="center"/>
          </w:tcPr>
          <w:p>
            <w:pPr>
              <w:jc w:val="center"/>
              <w:rPr>
                <w:rFonts w:cs="宋体"/>
                <w:b/>
                <w:sz w:val="21"/>
                <w:szCs w:val="21"/>
              </w:rPr>
            </w:pPr>
            <w:r>
              <w:rPr>
                <w:rFonts w:hint="eastAsia" w:cs="宋体"/>
                <w:b/>
                <w:sz w:val="21"/>
                <w:szCs w:val="21"/>
              </w:rPr>
              <w:t>等级</w:t>
            </w:r>
          </w:p>
        </w:tc>
        <w:tc>
          <w:tcPr>
            <w:tcW w:w="921" w:type="dxa"/>
            <w:shd w:val="clear" w:color="auto" w:fill="EAEAEA"/>
            <w:vAlign w:val="center"/>
          </w:tcPr>
          <w:p>
            <w:pPr>
              <w:jc w:val="center"/>
              <w:rPr>
                <w:rFonts w:cs="宋体"/>
                <w:b/>
                <w:sz w:val="21"/>
                <w:szCs w:val="21"/>
              </w:rPr>
            </w:pPr>
            <w:r>
              <w:rPr>
                <w:rFonts w:hint="eastAsia" w:cs="宋体"/>
                <w:b/>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cs="宋体"/>
                <w:sz w:val="21"/>
                <w:szCs w:val="21"/>
              </w:rPr>
            </w:pPr>
            <w:r>
              <w:rPr>
                <w:rFonts w:hint="eastAsia" w:cs="宋体"/>
                <w:sz w:val="21"/>
                <w:szCs w:val="21"/>
              </w:rPr>
              <w:t>1</w:t>
            </w:r>
          </w:p>
        </w:tc>
        <w:tc>
          <w:tcPr>
            <w:tcW w:w="3701" w:type="dxa"/>
            <w:vAlign w:val="center"/>
          </w:tcPr>
          <w:p>
            <w:pPr>
              <w:jc w:val="center"/>
              <w:rPr>
                <w:rFonts w:cs="宋体"/>
                <w:sz w:val="21"/>
                <w:szCs w:val="21"/>
              </w:rPr>
            </w:pPr>
            <w:r>
              <w:rPr>
                <w:rFonts w:hint="eastAsia" w:cs="宋体"/>
                <w:sz w:val="21"/>
                <w:szCs w:val="21"/>
              </w:rPr>
              <w:t>电子商务数据分析职业技能等级证书</w:t>
            </w:r>
          </w:p>
        </w:tc>
        <w:tc>
          <w:tcPr>
            <w:tcW w:w="1930" w:type="dxa"/>
            <w:vAlign w:val="center"/>
          </w:tcPr>
          <w:p>
            <w:pPr>
              <w:jc w:val="center"/>
              <w:rPr>
                <w:rFonts w:cs="宋体"/>
                <w:sz w:val="21"/>
                <w:szCs w:val="21"/>
              </w:rPr>
            </w:pPr>
            <w:r>
              <w:rPr>
                <w:rFonts w:hint="eastAsia" w:cs="宋体"/>
                <w:sz w:val="21"/>
                <w:szCs w:val="21"/>
              </w:rPr>
              <w:t>北京博导前程信息技术股份有限公司</w:t>
            </w:r>
          </w:p>
        </w:tc>
        <w:tc>
          <w:tcPr>
            <w:tcW w:w="1118" w:type="dxa"/>
            <w:vAlign w:val="center"/>
          </w:tcPr>
          <w:p>
            <w:pPr>
              <w:jc w:val="center"/>
              <w:rPr>
                <w:rFonts w:cs="宋体"/>
                <w:sz w:val="21"/>
                <w:szCs w:val="21"/>
              </w:rPr>
            </w:pPr>
            <w:r>
              <w:rPr>
                <w:rFonts w:hint="eastAsia" w:cs="宋体"/>
                <w:sz w:val="21"/>
                <w:szCs w:val="21"/>
              </w:rPr>
              <w:t>初级</w:t>
            </w:r>
          </w:p>
        </w:tc>
        <w:tc>
          <w:tcPr>
            <w:tcW w:w="921" w:type="dxa"/>
            <w:vAlign w:val="center"/>
          </w:tcPr>
          <w:p>
            <w:pPr>
              <w:jc w:val="center"/>
              <w:rPr>
                <w:rFonts w:cs="宋体"/>
                <w:sz w:val="21"/>
                <w:szCs w:val="21"/>
              </w:rPr>
            </w:pPr>
            <w:r>
              <w:rPr>
                <w:rFonts w:hint="eastAsia" w:cs="宋体"/>
                <w:sz w:val="21"/>
                <w:szCs w:val="21"/>
              </w:rPr>
              <w:t>1+X证书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cs="宋体"/>
                <w:sz w:val="21"/>
                <w:szCs w:val="21"/>
              </w:rPr>
            </w:pPr>
            <w:r>
              <w:rPr>
                <w:rFonts w:hint="eastAsia" w:cs="宋体"/>
                <w:sz w:val="21"/>
                <w:szCs w:val="21"/>
              </w:rPr>
              <w:t>2</w:t>
            </w:r>
          </w:p>
        </w:tc>
        <w:tc>
          <w:tcPr>
            <w:tcW w:w="3701" w:type="dxa"/>
            <w:vAlign w:val="center"/>
          </w:tcPr>
          <w:p>
            <w:pPr>
              <w:jc w:val="center"/>
              <w:rPr>
                <w:rFonts w:cs="宋体"/>
                <w:sz w:val="21"/>
                <w:szCs w:val="21"/>
              </w:rPr>
            </w:pPr>
            <w:r>
              <w:rPr>
                <w:rFonts w:hint="eastAsia" w:cs="宋体"/>
                <w:sz w:val="21"/>
                <w:szCs w:val="21"/>
              </w:rPr>
              <w:t>网店运营推广职业技能等级证书</w:t>
            </w:r>
          </w:p>
        </w:tc>
        <w:tc>
          <w:tcPr>
            <w:tcW w:w="1930" w:type="dxa"/>
            <w:vAlign w:val="center"/>
          </w:tcPr>
          <w:p>
            <w:pPr>
              <w:jc w:val="center"/>
              <w:rPr>
                <w:rFonts w:cs="宋体"/>
                <w:sz w:val="21"/>
                <w:szCs w:val="21"/>
              </w:rPr>
            </w:pPr>
            <w:r>
              <w:rPr>
                <w:rFonts w:hint="eastAsia" w:cs="宋体"/>
                <w:sz w:val="21"/>
                <w:szCs w:val="21"/>
              </w:rPr>
              <w:t>北京鸿科经伟科技有限公司</w:t>
            </w:r>
          </w:p>
        </w:tc>
        <w:tc>
          <w:tcPr>
            <w:tcW w:w="1118" w:type="dxa"/>
            <w:vAlign w:val="center"/>
          </w:tcPr>
          <w:p>
            <w:pPr>
              <w:jc w:val="center"/>
              <w:rPr>
                <w:rFonts w:cs="宋体"/>
                <w:sz w:val="21"/>
                <w:szCs w:val="21"/>
              </w:rPr>
            </w:pPr>
            <w:r>
              <w:rPr>
                <w:rFonts w:hint="eastAsia" w:cs="宋体"/>
                <w:sz w:val="21"/>
                <w:szCs w:val="21"/>
              </w:rPr>
              <w:t>初级</w:t>
            </w:r>
          </w:p>
        </w:tc>
        <w:tc>
          <w:tcPr>
            <w:tcW w:w="921" w:type="dxa"/>
            <w:vAlign w:val="center"/>
          </w:tcPr>
          <w:p>
            <w:pPr>
              <w:jc w:val="center"/>
              <w:rPr>
                <w:rFonts w:cs="宋体"/>
                <w:sz w:val="21"/>
                <w:szCs w:val="21"/>
              </w:rPr>
            </w:pPr>
            <w:r>
              <w:rPr>
                <w:rFonts w:hint="eastAsia" w:cs="宋体"/>
                <w:sz w:val="21"/>
                <w:szCs w:val="21"/>
              </w:rPr>
              <w:t>必考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cs="宋体"/>
                <w:sz w:val="21"/>
                <w:szCs w:val="21"/>
              </w:rPr>
            </w:pPr>
            <w:r>
              <w:rPr>
                <w:rFonts w:hint="eastAsia" w:cs="宋体"/>
                <w:sz w:val="21"/>
                <w:szCs w:val="21"/>
              </w:rPr>
              <w:t>3</w:t>
            </w:r>
          </w:p>
        </w:tc>
        <w:tc>
          <w:tcPr>
            <w:tcW w:w="3701" w:type="dxa"/>
            <w:vAlign w:val="center"/>
          </w:tcPr>
          <w:p>
            <w:pPr>
              <w:jc w:val="center"/>
              <w:rPr>
                <w:rFonts w:cs="宋体"/>
                <w:sz w:val="21"/>
                <w:szCs w:val="21"/>
              </w:rPr>
            </w:pPr>
            <w:r>
              <w:rPr>
                <w:rFonts w:hint="eastAsia" w:cs="宋体"/>
                <w:sz w:val="21"/>
                <w:szCs w:val="21"/>
              </w:rPr>
              <w:t>阿里巴巴电商人才证书</w:t>
            </w:r>
          </w:p>
        </w:tc>
        <w:tc>
          <w:tcPr>
            <w:tcW w:w="1930" w:type="dxa"/>
            <w:vAlign w:val="center"/>
          </w:tcPr>
          <w:p>
            <w:pPr>
              <w:jc w:val="center"/>
              <w:rPr>
                <w:rFonts w:cs="宋体"/>
                <w:sz w:val="21"/>
                <w:szCs w:val="21"/>
              </w:rPr>
            </w:pPr>
            <w:r>
              <w:rPr>
                <w:rFonts w:hint="eastAsia" w:cs="宋体"/>
                <w:sz w:val="21"/>
                <w:szCs w:val="21"/>
              </w:rPr>
              <w:t>阿里巴巴（中国）教育科技有限公司</w:t>
            </w:r>
          </w:p>
        </w:tc>
        <w:tc>
          <w:tcPr>
            <w:tcW w:w="1118" w:type="dxa"/>
            <w:vAlign w:val="center"/>
          </w:tcPr>
          <w:p>
            <w:pPr>
              <w:jc w:val="center"/>
              <w:rPr>
                <w:rFonts w:cs="宋体"/>
                <w:sz w:val="21"/>
                <w:szCs w:val="21"/>
              </w:rPr>
            </w:pPr>
            <w:r>
              <w:rPr>
                <w:rFonts w:hint="eastAsia" w:cs="宋体"/>
                <w:sz w:val="21"/>
                <w:szCs w:val="21"/>
              </w:rPr>
              <w:t>初级</w:t>
            </w:r>
          </w:p>
        </w:tc>
        <w:tc>
          <w:tcPr>
            <w:tcW w:w="921" w:type="dxa"/>
            <w:vAlign w:val="center"/>
          </w:tcPr>
          <w:p>
            <w:pPr>
              <w:jc w:val="center"/>
              <w:rPr>
                <w:rFonts w:cs="宋体"/>
                <w:sz w:val="21"/>
                <w:szCs w:val="21"/>
              </w:rPr>
            </w:pPr>
            <w:r>
              <w:rPr>
                <w:rFonts w:hint="eastAsia" w:cs="宋体"/>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spacing w:before="156" w:after="156"/>
              <w:jc w:val="center"/>
              <w:rPr>
                <w:rFonts w:cs="宋体"/>
                <w:sz w:val="21"/>
                <w:szCs w:val="21"/>
              </w:rPr>
            </w:pPr>
            <w:r>
              <w:rPr>
                <w:rFonts w:hint="eastAsia" w:cs="宋体"/>
                <w:sz w:val="21"/>
                <w:szCs w:val="21"/>
              </w:rPr>
              <w:t>4</w:t>
            </w:r>
          </w:p>
        </w:tc>
        <w:tc>
          <w:tcPr>
            <w:tcW w:w="3701" w:type="dxa"/>
            <w:vAlign w:val="center"/>
          </w:tcPr>
          <w:p>
            <w:pPr>
              <w:jc w:val="center"/>
              <w:rPr>
                <w:rFonts w:cs="宋体"/>
                <w:sz w:val="21"/>
                <w:szCs w:val="21"/>
              </w:rPr>
            </w:pPr>
            <w:r>
              <w:rPr>
                <w:rFonts w:hint="eastAsia" w:cs="宋体"/>
                <w:sz w:val="21"/>
                <w:szCs w:val="21"/>
              </w:rPr>
              <w:t>跨境电商证书</w:t>
            </w:r>
          </w:p>
        </w:tc>
        <w:tc>
          <w:tcPr>
            <w:tcW w:w="1930" w:type="dxa"/>
            <w:vAlign w:val="center"/>
          </w:tcPr>
          <w:p>
            <w:pPr>
              <w:jc w:val="center"/>
              <w:rPr>
                <w:rFonts w:cs="宋体"/>
                <w:sz w:val="21"/>
                <w:szCs w:val="21"/>
              </w:rPr>
            </w:pPr>
            <w:r>
              <w:rPr>
                <w:rFonts w:hint="eastAsia" w:cs="宋体"/>
                <w:sz w:val="21"/>
                <w:szCs w:val="21"/>
              </w:rPr>
              <w:t>人力资源和社会保障局</w:t>
            </w:r>
          </w:p>
        </w:tc>
        <w:tc>
          <w:tcPr>
            <w:tcW w:w="1118" w:type="dxa"/>
            <w:vAlign w:val="center"/>
          </w:tcPr>
          <w:p>
            <w:pPr>
              <w:spacing w:before="156" w:after="156"/>
              <w:jc w:val="center"/>
              <w:rPr>
                <w:rFonts w:cs="宋体"/>
                <w:sz w:val="21"/>
                <w:szCs w:val="21"/>
              </w:rPr>
            </w:pPr>
            <w:r>
              <w:rPr>
                <w:rFonts w:hint="eastAsia" w:cs="宋体"/>
                <w:sz w:val="21"/>
                <w:szCs w:val="21"/>
              </w:rPr>
              <w:t>初级</w:t>
            </w:r>
          </w:p>
        </w:tc>
        <w:tc>
          <w:tcPr>
            <w:tcW w:w="921" w:type="dxa"/>
            <w:vAlign w:val="center"/>
          </w:tcPr>
          <w:p>
            <w:pPr>
              <w:jc w:val="center"/>
              <w:rPr>
                <w:rFonts w:cs="宋体"/>
                <w:sz w:val="21"/>
                <w:szCs w:val="21"/>
              </w:rPr>
            </w:pPr>
            <w:r>
              <w:rPr>
                <w:rFonts w:hint="eastAsia" w:cs="宋体"/>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cs="宋体"/>
                <w:sz w:val="21"/>
                <w:szCs w:val="21"/>
              </w:rPr>
            </w:pPr>
            <w:r>
              <w:rPr>
                <w:rFonts w:hint="eastAsia" w:cs="宋体"/>
                <w:sz w:val="21"/>
                <w:szCs w:val="21"/>
              </w:rPr>
              <w:t>5</w:t>
            </w:r>
          </w:p>
        </w:tc>
        <w:tc>
          <w:tcPr>
            <w:tcW w:w="3701" w:type="dxa"/>
            <w:vAlign w:val="center"/>
          </w:tcPr>
          <w:p>
            <w:pPr>
              <w:jc w:val="center"/>
              <w:rPr>
                <w:rFonts w:cs="宋体"/>
                <w:sz w:val="21"/>
                <w:szCs w:val="21"/>
              </w:rPr>
            </w:pPr>
            <w:r>
              <w:rPr>
                <w:rFonts w:hint="eastAsia" w:cs="宋体"/>
                <w:sz w:val="21"/>
                <w:szCs w:val="21"/>
              </w:rPr>
              <w:t>办公软件证书</w:t>
            </w:r>
          </w:p>
        </w:tc>
        <w:tc>
          <w:tcPr>
            <w:tcW w:w="1930" w:type="dxa"/>
            <w:vAlign w:val="center"/>
          </w:tcPr>
          <w:p>
            <w:pPr>
              <w:jc w:val="center"/>
              <w:rPr>
                <w:rFonts w:cs="宋体"/>
                <w:sz w:val="21"/>
                <w:szCs w:val="21"/>
              </w:rPr>
            </w:pPr>
            <w:r>
              <w:rPr>
                <w:rFonts w:hint="eastAsia" w:cs="宋体"/>
                <w:sz w:val="21"/>
                <w:szCs w:val="21"/>
              </w:rPr>
              <w:t>人力资源和社会保障局</w:t>
            </w:r>
          </w:p>
        </w:tc>
        <w:tc>
          <w:tcPr>
            <w:tcW w:w="1118" w:type="dxa"/>
            <w:vAlign w:val="center"/>
          </w:tcPr>
          <w:p>
            <w:pPr>
              <w:jc w:val="center"/>
              <w:rPr>
                <w:rFonts w:cs="宋体"/>
                <w:sz w:val="21"/>
                <w:szCs w:val="21"/>
              </w:rPr>
            </w:pPr>
            <w:r>
              <w:rPr>
                <w:rFonts w:hint="eastAsia" w:cs="宋体"/>
                <w:sz w:val="21"/>
                <w:szCs w:val="21"/>
              </w:rPr>
              <w:t>国家二级</w:t>
            </w:r>
          </w:p>
        </w:tc>
        <w:tc>
          <w:tcPr>
            <w:tcW w:w="921" w:type="dxa"/>
            <w:vAlign w:val="center"/>
          </w:tcPr>
          <w:p>
            <w:pPr>
              <w:jc w:val="center"/>
              <w:rPr>
                <w:rFonts w:cs="宋体"/>
                <w:sz w:val="21"/>
                <w:szCs w:val="21"/>
              </w:rPr>
            </w:pPr>
            <w:r>
              <w:rPr>
                <w:rFonts w:hint="eastAsia" w:cs="宋体"/>
                <w:sz w:val="21"/>
                <w:szCs w:val="21"/>
              </w:rPr>
              <w:t>选考</w:t>
            </w:r>
          </w:p>
        </w:tc>
      </w:tr>
    </w:tbl>
    <w:p>
      <w:pPr>
        <w:spacing w:line="360" w:lineRule="auto"/>
        <w:ind w:firstLine="236" w:firstLineChars="100"/>
        <w:jc w:val="center"/>
        <w:rPr>
          <w:rFonts w:ascii="仿宋" w:hAnsi="仿宋" w:eastAsia="仿宋" w:cs="楷体_GB2312"/>
          <w:bCs/>
          <w:spacing w:val="-2"/>
          <w:sz w:val="24"/>
          <w:szCs w:val="24"/>
        </w:rPr>
      </w:pPr>
    </w:p>
    <w:p>
      <w:pPr>
        <w:spacing w:line="360" w:lineRule="auto"/>
        <w:ind w:firstLine="236" w:firstLineChars="100"/>
        <w:jc w:val="center"/>
        <w:rPr>
          <w:rFonts w:ascii="仿宋" w:hAnsi="仿宋" w:eastAsia="仿宋" w:cs="楷体_GB2312"/>
          <w:bCs/>
          <w:spacing w:val="-2"/>
          <w:sz w:val="24"/>
          <w:szCs w:val="24"/>
        </w:rPr>
      </w:pPr>
    </w:p>
    <w:p>
      <w:pPr>
        <w:spacing w:line="360" w:lineRule="auto"/>
        <w:ind w:firstLine="236" w:firstLineChars="100"/>
        <w:jc w:val="center"/>
        <w:rPr>
          <w:rFonts w:ascii="仿宋" w:hAnsi="仿宋" w:eastAsia="仿宋" w:cs="楷体_GB2312"/>
          <w:bCs/>
          <w:spacing w:val="-2"/>
          <w:sz w:val="24"/>
          <w:szCs w:val="24"/>
        </w:rPr>
      </w:pPr>
    </w:p>
    <w:p>
      <w:pPr>
        <w:spacing w:line="600" w:lineRule="exact"/>
        <w:outlineLvl w:val="0"/>
        <w:rPr>
          <w:rFonts w:ascii="黑体" w:hAnsi="黑体" w:eastAsia="黑体" w:cs="黑体"/>
          <w:sz w:val="32"/>
          <w:szCs w:val="32"/>
        </w:rPr>
      </w:pPr>
      <w:bookmarkStart w:id="6" w:name="_Toc76052119"/>
      <w:r>
        <w:rPr>
          <w:rFonts w:hint="eastAsia" w:ascii="黑体" w:hAnsi="黑体" w:eastAsia="黑体" w:cs="黑体"/>
          <w:sz w:val="32"/>
          <w:szCs w:val="32"/>
        </w:rPr>
        <w:t>五、培养目标与培养规格</w:t>
      </w:r>
      <w:bookmarkEnd w:id="6"/>
    </w:p>
    <w:p>
      <w:pPr>
        <w:pStyle w:val="13"/>
        <w:tabs>
          <w:tab w:val="center" w:pos="4153"/>
        </w:tabs>
        <w:spacing w:before="0" w:after="0" w:line="600" w:lineRule="exact"/>
        <w:jc w:val="left"/>
        <w:outlineLvl w:val="1"/>
        <w:rPr>
          <w:rFonts w:ascii="宋体" w:hAnsi="宋体" w:cs="宋体"/>
          <w:b w:val="0"/>
          <w:spacing w:val="-2"/>
          <w:sz w:val="28"/>
          <w:szCs w:val="28"/>
        </w:rPr>
      </w:pPr>
      <w:bookmarkStart w:id="7" w:name="_Toc76052120"/>
      <w:r>
        <w:rPr>
          <w:rFonts w:hint="eastAsia" w:ascii="宋体" w:hAnsi="宋体" w:cs="宋体"/>
          <w:b w:val="0"/>
          <w:spacing w:val="-2"/>
          <w:sz w:val="28"/>
          <w:szCs w:val="28"/>
        </w:rPr>
        <w:t>（一）培养目标</w:t>
      </w:r>
      <w:bookmarkEnd w:id="7"/>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8" w:name="_Toc76052121"/>
      <w:r>
        <w:rPr>
          <w:rFonts w:hint="eastAsia" w:ascii="宋体" w:hAnsi="宋体" w:cs="宋体"/>
          <w:b w:val="0"/>
          <w:spacing w:val="-2"/>
          <w:sz w:val="28"/>
          <w:szCs w:val="28"/>
        </w:rPr>
        <w:t>本专业培养德、智、体、美、劳全面发展，理想信念坚定、德技并修，具有一定的理论水平、良好的职业道德和人文素养、创新精神，掌握电子商务活动领域相关知识，具备网页设计与制作、商务图片制作与美化、网站（店）运营和管理、网络营销、客户关系与管理等技术技能，面向生产制造企业、销售企业、外贸企业的电子商务岗群，能熟练运用互联网及移动平台信息技术开展商务活动，从事营销推广、运营管理、客户服务、网店美工等岗位的复合型技术技能型人才。</w:t>
      </w:r>
      <w:bookmarkEnd w:id="8"/>
    </w:p>
    <w:p>
      <w:pPr>
        <w:pStyle w:val="13"/>
        <w:tabs>
          <w:tab w:val="center" w:pos="4153"/>
        </w:tabs>
        <w:spacing w:before="0" w:after="0" w:line="480" w:lineRule="auto"/>
        <w:jc w:val="left"/>
        <w:outlineLvl w:val="1"/>
        <w:rPr>
          <w:rFonts w:ascii="宋体" w:hAnsi="宋体" w:cs="宋体"/>
          <w:b w:val="0"/>
          <w:spacing w:val="-2"/>
          <w:sz w:val="28"/>
          <w:szCs w:val="28"/>
        </w:rPr>
      </w:pPr>
      <w:bookmarkStart w:id="9" w:name="_Toc76052122"/>
      <w:r>
        <w:rPr>
          <w:rFonts w:hint="eastAsia" w:ascii="宋体" w:hAnsi="宋体" w:cs="宋体"/>
          <w:b w:val="0"/>
          <w:spacing w:val="-2"/>
          <w:sz w:val="28"/>
          <w:szCs w:val="28"/>
        </w:rPr>
        <w:t>（二）培养规格</w:t>
      </w:r>
      <w:bookmarkEnd w:id="9"/>
    </w:p>
    <w:p>
      <w:pPr>
        <w:pStyle w:val="13"/>
        <w:tabs>
          <w:tab w:val="center" w:pos="4153"/>
        </w:tabs>
        <w:spacing w:before="0" w:after="0" w:line="480" w:lineRule="auto"/>
        <w:ind w:firstLine="552" w:firstLineChars="200"/>
        <w:jc w:val="left"/>
        <w:outlineLvl w:val="9"/>
        <w:rPr>
          <w:rFonts w:ascii="宋体" w:hAnsi="宋体" w:cs="宋体"/>
          <w:b w:val="0"/>
          <w:spacing w:val="-2"/>
          <w:sz w:val="28"/>
          <w:szCs w:val="28"/>
        </w:rPr>
      </w:pPr>
      <w:bookmarkStart w:id="10" w:name="_Toc76052123"/>
      <w:r>
        <w:rPr>
          <w:rFonts w:hint="eastAsia" w:ascii="宋体" w:hAnsi="宋体" w:cs="宋体"/>
          <w:b w:val="0"/>
          <w:spacing w:val="-2"/>
          <w:sz w:val="28"/>
          <w:szCs w:val="28"/>
        </w:rPr>
        <w:t>本专业毕业生应在素质、知识和能力等方面达到以下要求。</w:t>
      </w:r>
      <w:bookmarkEnd w:id="10"/>
    </w:p>
    <w:p>
      <w:pPr>
        <w:spacing w:line="360" w:lineRule="auto"/>
        <w:ind w:firstLine="237" w:firstLineChars="100"/>
        <w:jc w:val="center"/>
        <w:rPr>
          <w:rFonts w:cs="宋体"/>
          <w:b/>
          <w:bCs/>
          <w:spacing w:val="-2"/>
          <w:sz w:val="24"/>
          <w:szCs w:val="24"/>
        </w:rPr>
      </w:pPr>
      <w:r>
        <w:rPr>
          <w:rFonts w:hint="eastAsia" w:cs="宋体"/>
          <w:b/>
          <w:bCs/>
          <w:spacing w:val="-2"/>
          <w:sz w:val="24"/>
          <w:szCs w:val="24"/>
        </w:rPr>
        <w:t>表5-1 电子商务专业培养规格一览表</w:t>
      </w:r>
    </w:p>
    <w:tbl>
      <w:tblPr>
        <w:tblStyle w:val="15"/>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134"/>
        <w:gridCol w:w="6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783" w:type="dxa"/>
            <w:shd w:val="clear" w:color="auto" w:fill="EAEAEA"/>
            <w:vAlign w:val="center"/>
          </w:tcPr>
          <w:p>
            <w:pPr>
              <w:jc w:val="center"/>
              <w:rPr>
                <w:rFonts w:cs="宋体"/>
                <w:b/>
                <w:color w:val="000000"/>
                <w:sz w:val="21"/>
                <w:szCs w:val="21"/>
              </w:rPr>
            </w:pPr>
            <w:r>
              <w:rPr>
                <w:rFonts w:hint="eastAsia" w:cs="宋体"/>
                <w:b/>
                <w:color w:val="000000"/>
                <w:sz w:val="21"/>
                <w:szCs w:val="21"/>
              </w:rPr>
              <w:t>类型</w:t>
            </w:r>
          </w:p>
        </w:tc>
        <w:tc>
          <w:tcPr>
            <w:tcW w:w="1134" w:type="dxa"/>
            <w:shd w:val="clear" w:color="auto" w:fill="EAEAEA"/>
            <w:vAlign w:val="center"/>
          </w:tcPr>
          <w:p>
            <w:pPr>
              <w:jc w:val="center"/>
              <w:rPr>
                <w:rFonts w:cs="宋体"/>
                <w:b/>
                <w:color w:val="000000"/>
                <w:sz w:val="21"/>
                <w:szCs w:val="21"/>
              </w:rPr>
            </w:pPr>
            <w:r>
              <w:rPr>
                <w:rFonts w:hint="eastAsia" w:cs="宋体"/>
                <w:b/>
                <w:color w:val="000000"/>
                <w:sz w:val="21"/>
                <w:szCs w:val="21"/>
              </w:rPr>
              <w:t>基本项</w:t>
            </w:r>
          </w:p>
        </w:tc>
        <w:tc>
          <w:tcPr>
            <w:tcW w:w="6543" w:type="dxa"/>
            <w:shd w:val="clear" w:color="auto" w:fill="EAEAEA"/>
            <w:vAlign w:val="center"/>
          </w:tcPr>
          <w:p>
            <w:pPr>
              <w:jc w:val="center"/>
              <w:rPr>
                <w:rFonts w:cs="宋体"/>
                <w:b/>
                <w:color w:val="000000"/>
                <w:sz w:val="21"/>
                <w:szCs w:val="21"/>
              </w:rPr>
            </w:pPr>
            <w:r>
              <w:rPr>
                <w:rFonts w:hint="eastAsia" w:cs="宋体"/>
                <w:b/>
                <w:color w:val="000000"/>
                <w:sz w:val="21"/>
                <w:szCs w:val="21"/>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素质</w:t>
            </w: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思想政治素质</w:t>
            </w:r>
          </w:p>
        </w:tc>
        <w:tc>
          <w:tcPr>
            <w:tcW w:w="6543" w:type="dxa"/>
          </w:tcPr>
          <w:p>
            <w:pPr>
              <w:rPr>
                <w:rFonts w:cs="宋体"/>
                <w:color w:val="000000"/>
                <w:sz w:val="21"/>
                <w:szCs w:val="21"/>
              </w:rPr>
            </w:pPr>
            <w:r>
              <w:rPr>
                <w:rFonts w:hint="eastAsia" w:cs="宋体"/>
                <w:color w:val="000000"/>
                <w:sz w:val="21"/>
                <w:szCs w:val="21"/>
              </w:rPr>
              <w:t>具有正确的人生观、世界观、价值观；</w:t>
            </w:r>
            <w:r>
              <w:rPr>
                <w:rFonts w:hint="eastAsia" w:cs="宋体"/>
                <w:bCs/>
                <w:color w:val="000000"/>
                <w:sz w:val="21"/>
                <w:szCs w:val="21"/>
              </w:rPr>
              <w:t>践行社会主义核心价值观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具有社会责任感和参与意识，客观辩证的思想意识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坚决拥护中国共产党领导，树立中国特色社会主义共同理想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具有深厚的爱国情感、国家认同感、中华民族自豪感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崇尚宪法、遵守法律、遵规守纪</w:t>
            </w:r>
            <w:r>
              <w:rPr>
                <w:rFonts w:hint="eastAsia" w:cs="宋体"/>
                <w:color w:val="000000"/>
                <w:sz w:val="21"/>
                <w:szCs w:val="21"/>
              </w:rPr>
              <w:t>，知荣辱、知孝悌、知忠恕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职业素质</w:t>
            </w:r>
          </w:p>
        </w:tc>
        <w:tc>
          <w:tcPr>
            <w:tcW w:w="6543" w:type="dxa"/>
          </w:tcPr>
          <w:p>
            <w:pPr>
              <w:rPr>
                <w:rFonts w:cs="宋体"/>
                <w:color w:val="000000"/>
                <w:sz w:val="21"/>
                <w:szCs w:val="21"/>
              </w:rPr>
            </w:pPr>
            <w:r>
              <w:rPr>
                <w:rFonts w:hint="eastAsia" w:cs="宋体"/>
                <w:bCs/>
                <w:color w:val="000000"/>
                <w:sz w:val="21"/>
                <w:szCs w:val="21"/>
              </w:rPr>
              <w:t>崇德向善、诚实守信、</w:t>
            </w:r>
            <w:r>
              <w:rPr>
                <w:rFonts w:hint="eastAsia" w:cs="宋体"/>
                <w:color w:val="000000"/>
                <w:sz w:val="21"/>
                <w:szCs w:val="21"/>
              </w:rPr>
              <w:t>谦虚谨慎、</w:t>
            </w:r>
            <w:r>
              <w:rPr>
                <w:rFonts w:hint="eastAsia" w:cs="宋体"/>
                <w:bCs/>
                <w:color w:val="000000"/>
                <w:sz w:val="21"/>
                <w:szCs w:val="21"/>
              </w:rPr>
              <w:t>爱岗敬业，具有精益求精的工匠精神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尊重劳动、热爱劳动，具有较强的实践能力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具有质量意识、绿色环保意识、安全意识、创新精神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具有较强的集体意识和团队合作精神，能够进行有效的人际沟通和协作，与社会、自然和谐共处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积极进取，良好的职业习惯和服务意识，具有职业生涯规划意识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具有洞察国内外特别是省内本产业或行业的布局、规模和发展动态的行业视野意识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restart"/>
            <w:shd w:val="clear" w:color="auto" w:fill="EAEAEA"/>
            <w:vAlign w:val="center"/>
          </w:tcPr>
          <w:p>
            <w:pPr>
              <w:jc w:val="center"/>
              <w:rPr>
                <w:rFonts w:cs="宋体"/>
                <w:color w:val="000000"/>
                <w:sz w:val="21"/>
                <w:szCs w:val="21"/>
              </w:rPr>
            </w:pPr>
            <w:r>
              <w:rPr>
                <w:rFonts w:hint="eastAsia" w:cs="宋体"/>
                <w:bCs/>
                <w:color w:val="000000"/>
                <w:sz w:val="21"/>
                <w:szCs w:val="21"/>
              </w:rPr>
              <w:t>身心素质</w:t>
            </w:r>
          </w:p>
        </w:tc>
        <w:tc>
          <w:tcPr>
            <w:tcW w:w="6543" w:type="dxa"/>
          </w:tcPr>
          <w:p>
            <w:pPr>
              <w:rPr>
                <w:rFonts w:cs="宋体"/>
                <w:color w:val="000000"/>
                <w:sz w:val="21"/>
                <w:szCs w:val="21"/>
              </w:rPr>
            </w:pPr>
            <w:r>
              <w:rPr>
                <w:rFonts w:hint="eastAsia" w:cs="宋体"/>
                <w:bCs/>
                <w:color w:val="000000"/>
                <w:sz w:val="21"/>
                <w:szCs w:val="21"/>
              </w:rPr>
              <w:t>具有健康的体魄和心理、健全的人格，</w:t>
            </w:r>
            <w:r>
              <w:rPr>
                <w:rFonts w:hint="eastAsia" w:cs="宋体"/>
                <w:color w:val="000000"/>
                <w:sz w:val="21"/>
                <w:szCs w:val="21"/>
              </w:rPr>
              <w:t>乐观、自信、心态平和、宽容礼让、不怕挫折、能够自我认知和提升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bCs/>
                <w:color w:val="000000"/>
                <w:sz w:val="21"/>
                <w:szCs w:val="21"/>
              </w:rPr>
            </w:pPr>
          </w:p>
        </w:tc>
        <w:tc>
          <w:tcPr>
            <w:tcW w:w="6543" w:type="dxa"/>
          </w:tcPr>
          <w:p>
            <w:pPr>
              <w:rPr>
                <w:rFonts w:cs="宋体"/>
                <w:color w:val="000000"/>
                <w:sz w:val="21"/>
                <w:szCs w:val="21"/>
              </w:rPr>
            </w:pPr>
            <w:r>
              <w:rPr>
                <w:rFonts w:hint="eastAsia" w:cs="宋体"/>
                <w:bCs/>
                <w:color w:val="000000"/>
                <w:sz w:val="21"/>
                <w:szCs w:val="21"/>
              </w:rPr>
              <w:t>掌握基本运动知识和一两项运动技能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人文素质</w:t>
            </w:r>
          </w:p>
        </w:tc>
        <w:tc>
          <w:tcPr>
            <w:tcW w:w="6543" w:type="dxa"/>
          </w:tcPr>
          <w:p>
            <w:pPr>
              <w:rPr>
                <w:rFonts w:cs="宋体"/>
                <w:color w:val="000000"/>
                <w:sz w:val="21"/>
                <w:szCs w:val="21"/>
              </w:rPr>
            </w:pPr>
            <w:r>
              <w:rPr>
                <w:rFonts w:hint="eastAsia" w:cs="宋体"/>
                <w:color w:val="000000"/>
                <w:sz w:val="21"/>
                <w:szCs w:val="21"/>
              </w:rPr>
              <w:t>审美品味高尚、懂得发现美、认识美、</w:t>
            </w:r>
            <w:r>
              <w:rPr>
                <w:rFonts w:hint="eastAsia" w:cs="宋体"/>
                <w:bCs/>
                <w:color w:val="000000"/>
                <w:sz w:val="21"/>
                <w:szCs w:val="21"/>
              </w:rPr>
              <w:t>感受美、鉴赏美、</w:t>
            </w:r>
            <w:r>
              <w:rPr>
                <w:rFonts w:hint="eastAsia" w:cs="宋体"/>
                <w:color w:val="000000"/>
                <w:sz w:val="21"/>
                <w:szCs w:val="21"/>
              </w:rPr>
              <w:t>创造美和</w:t>
            </w:r>
            <w:r>
              <w:rPr>
                <w:rFonts w:hint="eastAsia" w:cs="宋体"/>
                <w:bCs/>
                <w:color w:val="000000"/>
                <w:sz w:val="21"/>
                <w:szCs w:val="21"/>
              </w:rPr>
              <w:t>表现美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color w:val="000000"/>
                <w:sz w:val="21"/>
                <w:szCs w:val="21"/>
              </w:rPr>
              <w:t>掌握一定的学习方法，具有良好的生活习惯、行为习惯和自我管理能力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能够形成一两项艺术特长或爱好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知识</w:t>
            </w:r>
          </w:p>
        </w:tc>
        <w:tc>
          <w:tcPr>
            <w:tcW w:w="1134" w:type="dxa"/>
            <w:vMerge w:val="restart"/>
            <w:shd w:val="clear" w:color="auto" w:fill="EAEAEA"/>
            <w:vAlign w:val="center"/>
          </w:tcPr>
          <w:p>
            <w:pPr>
              <w:jc w:val="center"/>
              <w:rPr>
                <w:rFonts w:cs="宋体"/>
                <w:color w:val="000000"/>
                <w:sz w:val="21"/>
                <w:szCs w:val="21"/>
              </w:rPr>
            </w:pPr>
            <w:r>
              <w:rPr>
                <w:rFonts w:hint="eastAsia" w:cs="宋体"/>
                <w:bCs/>
                <w:color w:val="000000" w:themeColor="text1"/>
                <w:sz w:val="21"/>
                <w:szCs w:val="21"/>
                <w14:textFill>
                  <w14:solidFill>
                    <w14:schemeClr w14:val="tx1"/>
                  </w14:solidFill>
                </w14:textFill>
              </w:rPr>
              <w:t>公共基础知识</w:t>
            </w:r>
          </w:p>
        </w:tc>
        <w:tc>
          <w:tcPr>
            <w:tcW w:w="6543" w:type="dxa"/>
          </w:tcPr>
          <w:p>
            <w:pPr>
              <w:rPr>
                <w:rFonts w:cs="宋体"/>
                <w:color w:val="000000"/>
                <w:sz w:val="21"/>
                <w:szCs w:val="21"/>
              </w:rPr>
            </w:pPr>
            <w:r>
              <w:rPr>
                <w:rFonts w:hint="eastAsia" w:cs="宋体"/>
                <w:bCs/>
                <w:color w:val="000000"/>
                <w:sz w:val="21"/>
                <w:szCs w:val="21"/>
              </w:rPr>
              <w:t>掌握必备的思想政治理论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color w:val="000000"/>
                <w:sz w:val="21"/>
                <w:szCs w:val="21"/>
              </w:rPr>
              <w:t>了解中华优秀传统文化知识、企业文化知识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color w:val="000000"/>
                <w:sz w:val="21"/>
                <w:szCs w:val="21"/>
              </w:rPr>
              <w:t>信息化知识、英语知识、公文写作知识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color w:val="000000"/>
                <w:sz w:val="21"/>
                <w:szCs w:val="21"/>
              </w:rPr>
              <w:t>掌握互联网产业职业法规基本知识、信息安全法律法规知识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熟悉环境保护、安全消防知识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专业知识</w:t>
            </w:r>
          </w:p>
        </w:tc>
        <w:tc>
          <w:tcPr>
            <w:tcW w:w="6543" w:type="dxa"/>
          </w:tcPr>
          <w:p>
            <w:pPr>
              <w:rPr>
                <w:rFonts w:cs="宋体"/>
                <w:color w:val="000000"/>
                <w:sz w:val="21"/>
                <w:szCs w:val="21"/>
              </w:rPr>
            </w:pPr>
            <w:r>
              <w:rPr>
                <w:rFonts w:hint="eastAsia" w:cs="宋体"/>
                <w:bCs/>
                <w:color w:val="000000"/>
                <w:sz w:val="21"/>
                <w:szCs w:val="21"/>
              </w:rPr>
              <w:t>掌握电子商务平台及建设基础知识、网络营销基础理论知识、客户关系管理知识。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sz w:val="21"/>
                <w:szCs w:val="21"/>
              </w:rPr>
            </w:pPr>
            <w:r>
              <w:rPr>
                <w:rFonts w:hint="eastAsia" w:cs="宋体"/>
                <w:sz w:val="21"/>
                <w:szCs w:val="21"/>
              </w:rPr>
              <w:t>掌握电子商务网页布局与配色基础、视觉营销知识、网站运营与管理知识。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掌握网站美工基础知识、图像处理与美化基础、网点开设流程、网点装修知识。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color w:val="000000"/>
                <w:sz w:val="21"/>
                <w:szCs w:val="21"/>
              </w:rPr>
            </w:pPr>
            <w:r>
              <w:rPr>
                <w:rFonts w:hint="eastAsia" w:cs="宋体"/>
                <w:bCs/>
                <w:color w:val="000000"/>
                <w:sz w:val="21"/>
                <w:szCs w:val="21"/>
              </w:rPr>
              <w:t>掌握网络推广计划制定、电子商务数据分析与优化知识。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cs="宋体"/>
                <w:color w:val="000000"/>
                <w:sz w:val="21"/>
                <w:szCs w:val="21"/>
              </w:rPr>
            </w:pPr>
          </w:p>
        </w:tc>
        <w:tc>
          <w:tcPr>
            <w:tcW w:w="1134" w:type="dxa"/>
            <w:vMerge w:val="continue"/>
            <w:shd w:val="clear" w:color="auto" w:fill="EAEAEA"/>
          </w:tcPr>
          <w:p>
            <w:pPr>
              <w:jc w:val="center"/>
              <w:rPr>
                <w:rFonts w:cs="宋体"/>
                <w:color w:val="000000"/>
                <w:sz w:val="21"/>
                <w:szCs w:val="21"/>
              </w:rPr>
            </w:pPr>
          </w:p>
        </w:tc>
        <w:tc>
          <w:tcPr>
            <w:tcW w:w="6543" w:type="dxa"/>
          </w:tcPr>
          <w:p>
            <w:pPr>
              <w:rPr>
                <w:rFonts w:cs="宋体"/>
                <w:bCs/>
                <w:color w:val="000000"/>
                <w:sz w:val="21"/>
                <w:szCs w:val="21"/>
              </w:rPr>
            </w:pPr>
            <w:r>
              <w:rPr>
                <w:rFonts w:hint="eastAsia" w:cs="宋体"/>
                <w:bCs/>
                <w:color w:val="000000"/>
                <w:sz w:val="21"/>
                <w:szCs w:val="21"/>
              </w:rPr>
              <w:t>掌握移动电子商务运营与管理知识、跨境电子商务运营知识。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能力</w:t>
            </w: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通用能力</w:t>
            </w:r>
          </w:p>
        </w:tc>
        <w:tc>
          <w:tcPr>
            <w:tcW w:w="6543" w:type="dxa"/>
            <w:vAlign w:val="center"/>
          </w:tcPr>
          <w:p>
            <w:pPr>
              <w:rPr>
                <w:rFonts w:cs="宋体"/>
                <w:sz w:val="21"/>
                <w:szCs w:val="21"/>
              </w:rPr>
            </w:pPr>
            <w:r>
              <w:rPr>
                <w:rFonts w:hint="eastAsia" w:cs="宋体"/>
                <w:sz w:val="21"/>
                <w:szCs w:val="21"/>
              </w:rPr>
              <w:t>具有网络市场分析及开拓能力，数据分析与处理能力，社交沟通能力。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具有政策与法规的理解和利用能力，自主学习和创新创业能力。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具有独立思考、团队合作、逻辑推理、信息加工的能力，总结概括能力。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restart"/>
            <w:shd w:val="clear" w:color="auto" w:fill="EAEAEA"/>
            <w:vAlign w:val="center"/>
          </w:tcPr>
          <w:p>
            <w:pPr>
              <w:jc w:val="center"/>
              <w:rPr>
                <w:rFonts w:cs="宋体"/>
                <w:color w:val="000000"/>
                <w:sz w:val="21"/>
                <w:szCs w:val="21"/>
              </w:rPr>
            </w:pPr>
            <w:r>
              <w:rPr>
                <w:rFonts w:hint="eastAsia" w:cs="宋体"/>
                <w:color w:val="000000"/>
                <w:sz w:val="21"/>
                <w:szCs w:val="21"/>
              </w:rPr>
              <w:t>专业技术技能</w:t>
            </w:r>
          </w:p>
        </w:tc>
        <w:tc>
          <w:tcPr>
            <w:tcW w:w="6543" w:type="dxa"/>
            <w:vAlign w:val="center"/>
          </w:tcPr>
          <w:p>
            <w:pPr>
              <w:rPr>
                <w:rFonts w:cs="宋体"/>
                <w:sz w:val="21"/>
                <w:szCs w:val="21"/>
              </w:rPr>
            </w:pPr>
            <w:r>
              <w:rPr>
                <w:rFonts w:hint="eastAsia" w:cs="宋体"/>
                <w:sz w:val="21"/>
                <w:szCs w:val="21"/>
              </w:rPr>
              <w:t>熟练掌握电子商务专业知识具有电子商务相关工作岗位的能力。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具有信息收集和处理能力。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具有Adobe、Dreamweaver、Photoshop等软件操作能力</w:t>
            </w:r>
            <w:r>
              <w:rPr>
                <w:rFonts w:hint="eastAsia" w:cs="宋体"/>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bCs/>
                <w:color w:val="000000"/>
                <w:sz w:val="21"/>
                <w:szCs w:val="21"/>
              </w:rPr>
              <w:t>具有网络营销方案规划设计和优化的能力。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具有电子商务数据分析、优化企业网站（网店）、网站（网店）运营能力能力。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具有协助主管管理工程项目，撰写项目文档、工程报告等文档的能力。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具有电子商务客户服务与管理能力</w:t>
            </w:r>
            <w:r>
              <w:rPr>
                <w:rFonts w:hint="eastAsia" w:cs="宋体"/>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cs="宋体"/>
                <w:color w:val="000000"/>
                <w:sz w:val="21"/>
                <w:szCs w:val="21"/>
              </w:rPr>
            </w:pPr>
          </w:p>
        </w:tc>
        <w:tc>
          <w:tcPr>
            <w:tcW w:w="1134" w:type="dxa"/>
            <w:vMerge w:val="continue"/>
            <w:shd w:val="clear" w:color="auto" w:fill="EAEAEA"/>
            <w:vAlign w:val="center"/>
          </w:tcPr>
          <w:p>
            <w:pPr>
              <w:jc w:val="center"/>
              <w:rPr>
                <w:rFonts w:cs="宋体"/>
                <w:color w:val="000000"/>
                <w:sz w:val="21"/>
                <w:szCs w:val="21"/>
              </w:rPr>
            </w:pPr>
          </w:p>
        </w:tc>
        <w:tc>
          <w:tcPr>
            <w:tcW w:w="6543" w:type="dxa"/>
            <w:vAlign w:val="center"/>
          </w:tcPr>
          <w:p>
            <w:pPr>
              <w:rPr>
                <w:rFonts w:cs="宋体"/>
                <w:sz w:val="21"/>
                <w:szCs w:val="21"/>
              </w:rPr>
            </w:pPr>
            <w:r>
              <w:rPr>
                <w:rFonts w:hint="eastAsia" w:cs="宋体"/>
                <w:sz w:val="21"/>
                <w:szCs w:val="21"/>
              </w:rPr>
              <w:t>具有运用电子商务相关法律知识维护自身权益的能力。</w:t>
            </w:r>
          </w:p>
        </w:tc>
      </w:tr>
    </w:tbl>
    <w:p>
      <w:pPr>
        <w:spacing w:line="600" w:lineRule="exact"/>
        <w:outlineLvl w:val="0"/>
        <w:rPr>
          <w:rFonts w:cs="宋体"/>
          <w:sz w:val="32"/>
          <w:szCs w:val="32"/>
        </w:rPr>
        <w:sectPr>
          <w:footerReference r:id="rId5" w:type="default"/>
          <w:pgSz w:w="11906" w:h="16838"/>
          <w:pgMar w:top="1440" w:right="1797" w:bottom="1440" w:left="1797" w:header="851" w:footer="1559" w:gutter="0"/>
          <w:cols w:space="720" w:num="1"/>
          <w:docGrid w:type="lines" w:linePitch="381" w:charSpace="0"/>
        </w:sectPr>
      </w:pPr>
    </w:p>
    <w:p>
      <w:pPr>
        <w:spacing w:line="600" w:lineRule="exact"/>
        <w:outlineLvl w:val="0"/>
        <w:rPr>
          <w:rFonts w:ascii="黑体" w:hAnsi="黑体" w:eastAsia="黑体" w:cs="黑体"/>
          <w:sz w:val="32"/>
          <w:szCs w:val="32"/>
        </w:rPr>
      </w:pPr>
      <w:bookmarkStart w:id="11" w:name="_Toc76052124"/>
      <w:r>
        <w:rPr>
          <w:rFonts w:hint="eastAsia" w:ascii="黑体" w:hAnsi="黑体" w:eastAsia="黑体" w:cs="黑体"/>
          <w:sz w:val="32"/>
          <w:szCs w:val="32"/>
        </w:rPr>
        <w:t>六、课程设置及要求</w:t>
      </w:r>
      <w:bookmarkEnd w:id="11"/>
    </w:p>
    <w:p>
      <w:pPr>
        <w:pStyle w:val="13"/>
        <w:tabs>
          <w:tab w:val="center" w:pos="4153"/>
        </w:tabs>
        <w:spacing w:before="0" w:after="0" w:line="600" w:lineRule="exact"/>
        <w:jc w:val="left"/>
        <w:outlineLvl w:val="1"/>
        <w:rPr>
          <w:rFonts w:ascii="宋体" w:hAnsi="宋体" w:cs="宋体"/>
          <w:b w:val="0"/>
          <w:spacing w:val="-2"/>
          <w:sz w:val="28"/>
          <w:szCs w:val="28"/>
        </w:rPr>
      </w:pPr>
      <w:bookmarkStart w:id="12" w:name="_Toc76052125"/>
      <w:r>
        <w:rPr>
          <w:rFonts w:hint="eastAsia" w:ascii="宋体" w:hAnsi="宋体" w:cs="宋体"/>
          <w:b w:val="0"/>
          <w:spacing w:val="-2"/>
          <w:sz w:val="28"/>
          <w:szCs w:val="28"/>
        </w:rPr>
        <w:t>（一）公共基础课程</w:t>
      </w:r>
      <w:bookmarkEnd w:id="12"/>
    </w:p>
    <w:tbl>
      <w:tblPr>
        <w:tblStyle w:val="88"/>
        <w:tblpPr w:leftFromText="180" w:rightFromText="180" w:vertAnchor="text" w:horzAnchor="page" w:tblpXSpec="center" w:tblpY="801"/>
        <w:tblW w:w="13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713"/>
        <w:gridCol w:w="5045"/>
        <w:gridCol w:w="3259"/>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tcPr>
          <w:p>
            <w:pPr>
              <w:tabs>
                <w:tab w:val="center" w:pos="4153"/>
              </w:tabs>
              <w:jc w:val="center"/>
              <w:rPr>
                <w:rFonts w:cs="宋体"/>
                <w:b/>
                <w:spacing w:val="-2"/>
                <w:kern w:val="0"/>
                <w:sz w:val="21"/>
                <w:szCs w:val="21"/>
              </w:rPr>
            </w:pPr>
            <w:r>
              <w:rPr>
                <w:rFonts w:hint="eastAsia" w:cs="宋体"/>
                <w:b/>
                <w:spacing w:val="-2"/>
                <w:kern w:val="0"/>
                <w:sz w:val="21"/>
                <w:szCs w:val="21"/>
              </w:rPr>
              <w:t>序号</w:t>
            </w:r>
          </w:p>
        </w:tc>
        <w:tc>
          <w:tcPr>
            <w:tcW w:w="1713" w:type="dxa"/>
            <w:tcBorders>
              <w:tl2br w:val="nil"/>
              <w:tr2bl w:val="nil"/>
            </w:tcBorders>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课程名称</w:t>
            </w:r>
          </w:p>
        </w:tc>
        <w:tc>
          <w:tcPr>
            <w:tcW w:w="5045" w:type="dxa"/>
            <w:tcBorders>
              <w:tl2br w:val="nil"/>
              <w:tr2bl w:val="nil"/>
            </w:tcBorders>
          </w:tcPr>
          <w:p>
            <w:pPr>
              <w:adjustRightInd w:val="0"/>
              <w:snapToGrid w:val="0"/>
              <w:spacing w:before="76" w:beforeLines="20"/>
              <w:jc w:val="left"/>
              <w:rPr>
                <w:rFonts w:cs="宋体"/>
                <w:b/>
                <w:snapToGrid/>
                <w:kern w:val="2"/>
                <w:sz w:val="21"/>
                <w:szCs w:val="21"/>
              </w:rPr>
            </w:pPr>
            <w:r>
              <w:rPr>
                <w:rFonts w:hint="eastAsia" w:cs="宋体"/>
                <w:b/>
                <w:snapToGrid/>
                <w:kern w:val="2"/>
                <w:sz w:val="21"/>
                <w:szCs w:val="21"/>
              </w:rPr>
              <w:t>课程目标</w:t>
            </w:r>
          </w:p>
        </w:tc>
        <w:tc>
          <w:tcPr>
            <w:tcW w:w="3259" w:type="dxa"/>
            <w:tcBorders>
              <w:tl2br w:val="nil"/>
              <w:tr2bl w:val="nil"/>
            </w:tcBorders>
          </w:tcPr>
          <w:p>
            <w:pPr>
              <w:adjustRightInd w:val="0"/>
              <w:snapToGrid w:val="0"/>
              <w:spacing w:before="76" w:beforeLines="20"/>
              <w:jc w:val="left"/>
              <w:rPr>
                <w:rFonts w:cs="宋体"/>
                <w:b/>
                <w:snapToGrid/>
                <w:kern w:val="2"/>
                <w:sz w:val="21"/>
                <w:szCs w:val="21"/>
              </w:rPr>
            </w:pPr>
            <w:r>
              <w:rPr>
                <w:rFonts w:hint="eastAsia" w:cs="宋体"/>
                <w:b/>
                <w:snapToGrid/>
                <w:kern w:val="2"/>
                <w:sz w:val="21"/>
                <w:szCs w:val="21"/>
              </w:rPr>
              <w:t>主要内容</w:t>
            </w:r>
          </w:p>
        </w:tc>
        <w:tc>
          <w:tcPr>
            <w:tcW w:w="2839" w:type="dxa"/>
            <w:tcBorders>
              <w:tl2br w:val="nil"/>
              <w:tr2bl w:val="nil"/>
            </w:tcBorders>
          </w:tcPr>
          <w:p>
            <w:pPr>
              <w:adjustRightInd w:val="0"/>
              <w:snapToGrid w:val="0"/>
              <w:spacing w:before="76" w:beforeLines="20"/>
              <w:jc w:val="left"/>
              <w:rPr>
                <w:rFonts w:cs="宋体"/>
                <w:b/>
                <w:snapToGrid/>
                <w:kern w:val="2"/>
                <w:sz w:val="21"/>
                <w:szCs w:val="21"/>
              </w:rPr>
            </w:pPr>
            <w:r>
              <w:rPr>
                <w:rFonts w:hint="eastAsia" w:cs="宋体"/>
                <w:b/>
                <w:snapToGrid/>
                <w:kern w:val="2"/>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1</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语文</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1.素质目标：能自觉弘扬社会主义核心价值观，坚定文化自信，树立正确的人生理想，涵养职业精神；</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2.知识目标：阅读与欣赏、表达与交流及语文综合实践知识；</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3.能力目标：能够理解与运用、发散思维、鉴赏文学知识、传承文化知识。</w:t>
            </w:r>
          </w:p>
          <w:p>
            <w:pPr>
              <w:adjustRightInd w:val="0"/>
              <w:snapToGrid w:val="0"/>
              <w:spacing w:before="76" w:beforeLines="20"/>
              <w:jc w:val="left"/>
              <w:rPr>
                <w:rFonts w:cs="宋体"/>
                <w:snapToGrid/>
                <w:kern w:val="2"/>
                <w:sz w:val="21"/>
                <w:szCs w:val="21"/>
              </w:rPr>
            </w:pP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1.基础模块内容包括：语感与语言习得、中外文学作品选读、实用性阅读与交流、古代诗文选读、中国革命传统作品选读、社会主义先进文化作品选读、整本书阅读与研讨、跨媒介阅读与交流等8个主题内容；</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2.职业模块内容包括：劳模精神工匠精神作品研读、职场应用写作与交流、微写作、科普作品选读等4个专题内容。</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1.将立德树人贯穿课程教学全过程，发挥语文课程独特的育人功能；整体把握语文学科核心素养，合理设计教学活动；以学生发展为本，根据学生认知特点和能力水平组织教学，加强实践与应用；</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2.在教学过程中，采用语文综合实践形式组织教学，有意识地加强课程内容与专业教育、职业生活的联系和配合，有效运用信息化教学手段，配合以情境教学、小组讨论等方式；</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2</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数学</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1.素质目标：提高学生学习数学的兴趣，增强学好数学的主动性和自信心，养成理性思维、敢于质疑、善于思考的科学精神和精益求精的工匠精神；</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2.知识目标：数学运算、直观想象、逻辑推理、数学抽象、数据分析和数学建模等；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3.能力目标：用数学眼光观察世界、用数学思维分析世界、数学语言表达世界。</w:t>
            </w: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1.基础模块包括基础知识、函数、几何与代数、概率与统计;</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2.拓展模块是基础模块内容的延伸和拓展，包括基础知识、函数、几何与代数、概率与统计。</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1.教学体现职教特色，遵循技术技能人才的成长规律，教学中要合理融入思想政治教育，引导学生增强职业道德修养，提高职业素养；</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2.围绕课程目标，按照课程内容确定教学计划，通过讲授法，创设教学情境，辅以案例教学、讨论法等完成课程任务；</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3</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英语</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1.素质目标：通过英语课程的学习，全面贯彻党的教育方针，落实立德树人根本任务，激发学生英语学习的兴趣;</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2.知识目标：掌握英语听说、阅读等基础知识与技能;</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3.能力目标：能进行英语的日常交流与对话，能正确理解日常题材英文资料。</w:t>
            </w: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1.基础模块是各专业学生必修的基础性内容，教学主题包括：自我与他人、学习与生活、社会交往、社会服务、历史与文化、科学与技术、自然与环境、可持续发展；</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2.职业模块是各专业学生限定选修的学习内容，教学主题包括：求职应聘、职场礼仪、职场服务、设备操作、技术应用、职场安全、危机应对、职业规划等。</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1.英语教学以学生为主体，尊重个体差异，促进学生的发展，帮助学生在学习语言知识、发展语言技能的同时，形成对外国优秀文化的正确认识及对中华优秀文化的深刻认知，拓宽国际视野，坚定文化自信。</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2.在英语教学中，设计合理的教学活动，开展活动导向教学，落实学科核心素养，重视实践应用；</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4</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信息技术（1）（2）</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1.素质目标：培养学生信息技术学科核心素养；</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2.知识目标：吸纳相关领域的前沿成果，了解计算机应用基础、图文编辑、程序设计、计算机与移动终端维护；</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3.能力目标：能够应用计算机完成日常工作，按规范要求完成图、文等设置。</w:t>
            </w:r>
          </w:p>
        </w:tc>
        <w:tc>
          <w:tcPr>
            <w:tcW w:w="325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1.基础模块包含信息技术应用基础、</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网络应用、图文编辑、数据处理、程序设计入门、数字媒体技术应用、信息安全基础、人工智能初步8个部分内容。</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2.拓展模块设计了计算机与移动终端维护、小型网络系统搭建、实用图册制作、三维数字模型绘制、数据报表编制、数字媒体创意、演示文稿制作、个人网店开设、信息安全保护、机器人操作10个专题。</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1.在教师要贯彻立德树人的宗旨，准确把握信息技术课程的性质、任务和目标，对接信息技术的最新发展与应用，结合职业岗位要求和专业能力发展需求，着重培养支撑学生终生发展、适应时代要求的信息素养；</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2.以学生为主体、教师为主导，通过项目式教学，在计算机机房完成主体教学；</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5</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p>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历史</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1.素质目标：形成历史学科核心素养，铸牢中华民族共同体意识，树立正确的国家观，增强对祖国的认同感。</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2.知识目标：掌握中华民族多元一体的历史发展进程，了解中国古代史、中国近代史、中国现代史，世界古代史、世界近代史、世界现代史；</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3.能力目标：能够依据史实与史料对史事表达自己的看法，明晰历史背后的故事，向他人传播正确的历史故事。</w:t>
            </w: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1.中国历史包括：中国古代史、中国近代史和中国现代史</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2.世界历史包括：世界古代史、世界近代史和世界现代史。</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1.将思政要素融入历史课程教学，结合不同教学内容所蕴含的历史核心素养，合理设计教学目标、教学过程、教学评价等，科学有效地达成课程目标；</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2.多元化的教学方式，结合教学内容，创新教学形式、教学过程和教学方法，鼓励学生开展自主学习、探究学习和合作学习，在做中教、做中学；</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6</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中国特色社会主义</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1.素质目标：认清自己在实现中国特色社会主义新时代发展目标中的历史机遇与使命担当，以热爱祖国为立身之本、成才之基，在新时代新征程中健康成长、成才报国。</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2.知识目标：掌握新时代中国特色主义思想、中国特色社会主义的开创与发展等；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3.能力目标;能坚定中国特色社会主义道路自信、理论自信、制度自信、文化自信，维护祖国的荣誉与利益。</w:t>
            </w:r>
          </w:p>
        </w:tc>
        <w:tc>
          <w:tcPr>
            <w:tcW w:w="325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1.以习近平新时代中国特色社会主义思想为指导，阐释中国特色社会主义的开创与发展，明确中国特色社会主义进入新时代的历史方位，</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2.阐明中国特色社会主义建设“五位一体”总体布局的基本内容，</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3.引导学生树立对马克思主义的信仰、对中国特色社会主义的信念、对中华民族伟大复兴中国梦的信心，</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283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1.教学要立足中国特色社会主义新时代新要求，结合学生知识水平、年龄特征、所学专业特点及相关行业和产业发展情况，强化社会主义核心价值体系的价值引领；</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2.创新教学方式方法，引导学生在情境体验、问题辨析、社会活动的过程中，学会理性面对不同观点并做出正确价值判断与行为选择；</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7</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心理健康与职业生涯</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1.素质目标：养成自立自强、敬业乐群的心理品质和自尊自信、理性平和、积极向上的良好心态；</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2.知识目标：培养心理健康意识，掌握心理调适方法，学习适应时代发展的职业理想和职业发展观，掌握制订和执行职业生涯规划的方法；</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3.能力目标：具有应对挫折与适应社会的能力，能够顺利就业。</w:t>
            </w:r>
          </w:p>
        </w:tc>
        <w:tc>
          <w:tcPr>
            <w:tcW w:w="325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1.引导学生树立心理健康意识，掌握心理调适和职业生涯规划的方法，</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2.帮助学生正确处理生活、学习、成长和求职就业中遇到的问题，</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培育自立自强、敬业乐群的心理品质和自尊自信、理性平和、积极向上的良好心态，</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3.根据社会发展需要和学生心理特点进行职业生涯指导，为职业生涯发展奠定基础</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1.充分发挥课程思政在心理健康与职业生涯教育中的引领作用，培养学生良好的生活态度与职业价值观；</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8</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哲学与人生</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1.素质目标：自觉弘扬和践行社会主义核心价值观，形成正确的世界观、人生观和价值观；</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2.知识目标：马克思主义哲学基本原理，运用辩证唯物主义和历史唯物主义观点认识世界等；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3.能力目标：能够从实际出发、实事求是，学会用具体问题具体分析等方法，正确认识社会问题，分析和处理个人成长中的人生问题，在生活中做出正确的价值判断和行为选择。</w:t>
            </w:r>
          </w:p>
        </w:tc>
        <w:tc>
          <w:tcPr>
            <w:tcW w:w="325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1.阐明马克思主义哲学是科学的世界观和方法论，讲述辩证唯物主义和历史唯物主义基本观点及其对人生成长的意义；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2.阐述社会生活及个人成长中进行正确价值判断和行为选择的意义；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3.引导学生弘扬和践行社会主义核心价值观，为学生成长奠定正确的世界观、人生观和价值观基础</w:t>
            </w: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1.将立德树人的观念贯穿课程教学全过程，培养学生热爱生活、热爱生命的情感，构建正确的价值观体系；</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2.关注学科核心素养目标在教学中的落实，以学生为主体、教师为主导，设置问题情境、案例教学、视频等方式引导学生领悟人生的真谛；</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9</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职业道德与法制</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1.素质目标：培养学生法治意识，加强学生道德建设；</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知识目标：践行职业道德的主要内容及其重要意义；能够掌握加强职业道德修养的主要方法；</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2.能力目标：初步具备依法维权和有序参与公共事务的能力；能够根据社会发展需要、结合自身实际，以道德和法律的要求规范自己的言行，做恪守道德规范、尊法学法守法用法的好公民。</w:t>
            </w: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1.着眼于提高中职学生的职业道德素质和法治素养，对学生进行职业道德和法治教育。</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2.帮助学生理解全面依法治国的总目标和基本要求，了解职业道德和法律规范，增强职业道德和法治意识，养成爱岗敬业、依法办事的思维方式和行为习惯。</w:t>
            </w:r>
          </w:p>
          <w:p>
            <w:pPr>
              <w:adjustRightInd w:val="0"/>
              <w:snapToGrid w:val="0"/>
              <w:spacing w:before="76" w:beforeLines="20"/>
              <w:jc w:val="left"/>
              <w:rPr>
                <w:rFonts w:cs="宋体"/>
                <w:snapToGrid/>
                <w:kern w:val="2"/>
                <w:sz w:val="21"/>
                <w:szCs w:val="21"/>
              </w:rPr>
            </w:pP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1.充分发挥课程思政的引领作用，培养学生对社会的正确认识。加深学生对社会、职业的认识与理解，培养学生的实践能力和创新精神；</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2.通过社会实践活动，例如志愿服务、社会调查、专题访谈、参观访问、实习实训以及其它职业体验等，引导学生亲历某种情境或事件，获得直接的认知和情感经验；</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140" w:type="dxa"/>
            <w:tcBorders>
              <w:tl2br w:val="nil"/>
              <w:tr2bl w:val="nil"/>
            </w:tcBorders>
            <w:vAlign w:val="center"/>
          </w:tcPr>
          <w:p>
            <w:pPr>
              <w:jc w:val="center"/>
              <w:rPr>
                <w:rFonts w:cs="宋体"/>
                <w:b/>
                <w:snapToGrid/>
                <w:kern w:val="2"/>
                <w:sz w:val="21"/>
                <w:szCs w:val="21"/>
              </w:rPr>
            </w:pPr>
            <w:r>
              <w:rPr>
                <w:rFonts w:hint="eastAsia" w:cs="宋体"/>
                <w:b/>
                <w:snapToGrid/>
                <w:kern w:val="2"/>
                <w:sz w:val="21"/>
                <w:szCs w:val="21"/>
              </w:rPr>
              <w:t>10</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中职艺术</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1.素质目标：认识文化与艺术的关系，了解中国文化的源远流长和博大精深，热爱中华优秀文化，增进文化认同，坚定文化自信，尊重人类文化的多样性。</w:t>
            </w:r>
          </w:p>
          <w:p>
            <w:pPr>
              <w:widowControl/>
              <w:jc w:val="left"/>
              <w:textAlignment w:val="center"/>
              <w:rPr>
                <w:rFonts w:cs="宋体"/>
                <w:snapToGrid/>
                <w:kern w:val="2"/>
                <w:sz w:val="21"/>
                <w:szCs w:val="21"/>
              </w:rPr>
            </w:pPr>
            <w:r>
              <w:rPr>
                <w:rFonts w:hint="eastAsia" w:cs="宋体"/>
                <w:snapToGrid/>
                <w:kern w:val="2"/>
                <w:sz w:val="21"/>
                <w:szCs w:val="21"/>
              </w:rPr>
              <w:t>2.知识目标：掌握必备的艺术知识和表现技能；丰富审美经验，增强审美理解。</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3.能力目标：运用特定媒介、材料和艺术表现手法进行创意表达。</w:t>
            </w:r>
          </w:p>
        </w:tc>
        <w:tc>
          <w:tcPr>
            <w:tcW w:w="325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1.音乐鉴赏与实践：</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2.美术鉴赏与实践</w:t>
            </w:r>
          </w:p>
          <w:p>
            <w:pPr>
              <w:adjustRightInd w:val="0"/>
              <w:snapToGrid w:val="0"/>
              <w:spacing w:before="76" w:beforeLines="20"/>
              <w:jc w:val="left"/>
              <w:rPr>
                <w:rFonts w:cs="宋体"/>
                <w:snapToGrid/>
                <w:kern w:val="2"/>
                <w:sz w:val="21"/>
                <w:szCs w:val="21"/>
              </w:rPr>
            </w:pPr>
          </w:p>
        </w:tc>
        <w:tc>
          <w:tcPr>
            <w:tcW w:w="283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1.教师根据艺术学科核心素养与课程目标的要求，指导学生依据自身特点、专业学习和职业发展需要，选择合适的拓展模块内容开展研习，发展艺术特长，提高艺术应用水平，促进专业发展。</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2.创设与音乐表现内容和情感相适应的教学氛围，比较中外经典音乐作品</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3.过程考核+期末考核。</w:t>
            </w:r>
          </w:p>
          <w:p>
            <w:pPr>
              <w:adjustRightInd w:val="0"/>
              <w:snapToGrid w:val="0"/>
              <w:spacing w:before="76" w:beforeLines="20"/>
              <w:jc w:val="left"/>
              <w:rPr>
                <w:rFonts w:cs="宋体"/>
                <w:snapToGrid/>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tcBorders>
              <w:tl2br w:val="nil"/>
              <w:tr2bl w:val="nil"/>
            </w:tcBorders>
            <w:vAlign w:val="center"/>
          </w:tcPr>
          <w:p>
            <w:pPr>
              <w:spacing w:line="600" w:lineRule="exact"/>
              <w:jc w:val="center"/>
              <w:rPr>
                <w:rFonts w:cs="宋体"/>
                <w:b/>
                <w:snapToGrid/>
                <w:kern w:val="2"/>
                <w:sz w:val="21"/>
                <w:szCs w:val="21"/>
              </w:rPr>
            </w:pPr>
            <w:r>
              <w:rPr>
                <w:rFonts w:hint="eastAsia" w:cs="宋体"/>
                <w:b/>
                <w:snapToGrid/>
                <w:kern w:val="2"/>
                <w:sz w:val="21"/>
                <w:szCs w:val="21"/>
              </w:rPr>
              <w:t>11</w:t>
            </w:r>
          </w:p>
        </w:tc>
        <w:tc>
          <w:tcPr>
            <w:tcW w:w="1713" w:type="dxa"/>
            <w:tcBorders>
              <w:tl2br w:val="nil"/>
              <w:tr2bl w:val="nil"/>
            </w:tcBorders>
            <w:vAlign w:val="center"/>
          </w:tcPr>
          <w:p>
            <w:pPr>
              <w:adjustRightInd w:val="0"/>
              <w:snapToGrid w:val="0"/>
              <w:spacing w:before="76" w:beforeLines="20"/>
              <w:jc w:val="center"/>
              <w:rPr>
                <w:rFonts w:cs="宋体"/>
                <w:b/>
                <w:snapToGrid/>
                <w:kern w:val="2"/>
                <w:sz w:val="21"/>
                <w:szCs w:val="21"/>
              </w:rPr>
            </w:pPr>
            <w:r>
              <w:rPr>
                <w:rFonts w:hint="eastAsia" w:cs="宋体"/>
                <w:b/>
                <w:snapToGrid/>
                <w:kern w:val="2"/>
                <w:sz w:val="21"/>
                <w:szCs w:val="21"/>
              </w:rPr>
              <w:t>体育与健康</w:t>
            </w:r>
          </w:p>
        </w:tc>
        <w:tc>
          <w:tcPr>
            <w:tcW w:w="5045"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1.素质目标：养成健康锻炼的习惯，育体育心，形成健康的心理、身体；</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2.知识目标：掌握一定的体育锻炼知识和方法，认识体育与营养的关系，运动与保健的关系等；</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3.能力目标：能够形成健康的身体素质，为集体、为社会做贡献打下坚实的基础。</w:t>
            </w:r>
          </w:p>
        </w:tc>
        <w:tc>
          <w:tcPr>
            <w:tcW w:w="3259" w:type="dxa"/>
            <w:tcBorders>
              <w:tl2br w:val="nil"/>
              <w:tr2bl w:val="nil"/>
            </w:tcBorders>
          </w:tcPr>
          <w:p>
            <w:pPr>
              <w:adjustRightInd w:val="0"/>
              <w:snapToGrid w:val="0"/>
              <w:spacing w:before="76" w:beforeLines="20"/>
              <w:jc w:val="left"/>
              <w:rPr>
                <w:rFonts w:cs="宋体"/>
                <w:snapToGrid/>
                <w:kern w:val="2"/>
                <w:sz w:val="21"/>
                <w:szCs w:val="21"/>
              </w:rPr>
            </w:pPr>
            <w:r>
              <w:rPr>
                <w:rFonts w:hint="eastAsia" w:cs="宋体"/>
                <w:snapToGrid/>
                <w:kern w:val="2"/>
                <w:sz w:val="21"/>
                <w:szCs w:val="21"/>
              </w:rPr>
              <w:t>1.体能训练：主要包括体能发展的基本原理与方法、测量与评价体能水平的方法、体能锻炼计划制订的步骤与方法、有效控制体重与改善体形的方法等内容。</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健康教育：包括健康的基本知识与技能，食品安全和合理营养，常见传染性和慢性非传染性疾病的预防，安全运动和应急避险，常见运动损伤的预防与处理，常见职业性疾病的预防与康复，环境、健康与体育锻炼的关系，了解性与生殖健康知识，提高心理健康水平和社会适应能力，反兴奋剂教育等方面的内容。</w:t>
            </w:r>
          </w:p>
        </w:tc>
        <w:tc>
          <w:tcPr>
            <w:tcW w:w="2839" w:type="dxa"/>
            <w:tcBorders>
              <w:tl2br w:val="nil"/>
              <w:tr2bl w:val="nil"/>
            </w:tcBorders>
          </w:tcPr>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p>
          <w:p>
            <w:pPr>
              <w:adjustRightInd w:val="0"/>
              <w:snapToGrid w:val="0"/>
              <w:spacing w:before="76" w:beforeLines="20"/>
              <w:jc w:val="left"/>
              <w:rPr>
                <w:rFonts w:cs="宋体"/>
                <w:snapToGrid/>
                <w:kern w:val="2"/>
                <w:sz w:val="21"/>
                <w:szCs w:val="21"/>
              </w:rPr>
            </w:pPr>
            <w:r>
              <w:rPr>
                <w:rFonts w:hint="eastAsia" w:cs="宋体"/>
                <w:snapToGrid/>
                <w:kern w:val="2"/>
                <w:sz w:val="21"/>
                <w:szCs w:val="21"/>
              </w:rPr>
              <w:t>1.坚持“健康第一”的指导思想，促进学生健康成长，激发运动兴趣，培养学生养成终身体育的意识，增强学生身体素质；</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2.采用讲授法、示范法、情境教学、案例教学等多种教学方式，配合以体育竞赛视频，引导学生形成正确的生活观念；</w:t>
            </w:r>
          </w:p>
          <w:p>
            <w:pPr>
              <w:adjustRightInd w:val="0"/>
              <w:snapToGrid w:val="0"/>
              <w:spacing w:before="76" w:beforeLines="20"/>
              <w:jc w:val="left"/>
              <w:rPr>
                <w:rFonts w:cs="宋体"/>
                <w:snapToGrid/>
                <w:kern w:val="2"/>
                <w:sz w:val="21"/>
                <w:szCs w:val="21"/>
              </w:rPr>
            </w:pPr>
            <w:r>
              <w:rPr>
                <w:rFonts w:hint="eastAsia" w:cs="宋体"/>
                <w:snapToGrid/>
                <w:kern w:val="2"/>
                <w:sz w:val="21"/>
                <w:szCs w:val="21"/>
              </w:rPr>
              <w:t>3.过程考核+期末考核。</w:t>
            </w:r>
          </w:p>
        </w:tc>
      </w:tr>
    </w:tbl>
    <w:p>
      <w:pPr>
        <w:pStyle w:val="13"/>
        <w:tabs>
          <w:tab w:val="center" w:pos="4153"/>
        </w:tabs>
        <w:spacing w:before="0" w:after="0" w:line="600" w:lineRule="exact"/>
        <w:jc w:val="left"/>
        <w:outlineLvl w:val="9"/>
        <w:rPr>
          <w:rFonts w:ascii="仿宋_GB2312" w:hAnsi="仿宋_GB2312" w:eastAsia="仿宋_GB2312" w:cs="仿宋_GB2312"/>
          <w:b w:val="0"/>
          <w:spacing w:val="-2"/>
          <w:sz w:val="28"/>
          <w:szCs w:val="28"/>
        </w:rPr>
      </w:pPr>
    </w:p>
    <w:p>
      <w:pPr>
        <w:pStyle w:val="13"/>
        <w:pageBreakBefore/>
        <w:tabs>
          <w:tab w:val="center" w:pos="4153"/>
        </w:tabs>
        <w:spacing w:before="0" w:after="0" w:line="600" w:lineRule="exact"/>
        <w:jc w:val="left"/>
        <w:outlineLvl w:val="1"/>
        <w:rPr>
          <w:rFonts w:ascii="仿宋" w:hAnsi="仿宋" w:eastAsia="仿宋" w:cs="仿宋_GB2312"/>
          <w:b w:val="0"/>
          <w:spacing w:val="-2"/>
          <w:sz w:val="28"/>
          <w:szCs w:val="28"/>
        </w:rPr>
      </w:pPr>
      <w:bookmarkStart w:id="13" w:name="_Toc76052126"/>
      <w:r>
        <w:rPr>
          <w:rFonts w:hint="eastAsia" w:ascii="仿宋" w:hAnsi="仿宋" w:eastAsia="仿宋" w:cs="仿宋_GB2312"/>
          <w:b w:val="0"/>
          <w:spacing w:val="-2"/>
          <w:sz w:val="28"/>
          <w:szCs w:val="28"/>
        </w:rPr>
        <w:t>（二）专业技能课程</w:t>
      </w:r>
      <w:bookmarkEnd w:id="13"/>
    </w:p>
    <w:tbl>
      <w:tblPr>
        <w:tblStyle w:val="15"/>
        <w:tblW w:w="1400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59"/>
        <w:gridCol w:w="1843"/>
        <w:gridCol w:w="3827"/>
        <w:gridCol w:w="3544"/>
        <w:gridCol w:w="382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7" w:hRule="atLeast"/>
          <w:tblHeader/>
        </w:trPr>
        <w:tc>
          <w:tcPr>
            <w:tcW w:w="959" w:type="dxa"/>
            <w:shd w:val="clear" w:color="auto" w:fill="D8D8D8" w:themeFill="background1" w:themeFillShade="D9"/>
            <w:vAlign w:val="center"/>
          </w:tcPr>
          <w:p>
            <w:pPr>
              <w:jc w:val="center"/>
              <w:rPr>
                <w:rFonts w:cs="宋体"/>
                <w:b/>
                <w:sz w:val="21"/>
                <w:szCs w:val="21"/>
              </w:rPr>
            </w:pPr>
            <w:r>
              <w:rPr>
                <w:rFonts w:hint="eastAsia" w:cs="宋体"/>
                <w:b/>
                <w:sz w:val="21"/>
                <w:szCs w:val="21"/>
              </w:rPr>
              <w:t>序号</w:t>
            </w:r>
          </w:p>
        </w:tc>
        <w:tc>
          <w:tcPr>
            <w:tcW w:w="1843" w:type="dxa"/>
            <w:shd w:val="clear" w:color="auto" w:fill="D8D8D8" w:themeFill="background1" w:themeFillShade="D9"/>
            <w:vAlign w:val="center"/>
          </w:tcPr>
          <w:p>
            <w:pPr>
              <w:pStyle w:val="13"/>
              <w:tabs>
                <w:tab w:val="center" w:pos="4153"/>
              </w:tabs>
              <w:spacing w:before="0" w:after="0"/>
              <w:outlineLvl w:val="9"/>
              <w:rPr>
                <w:rFonts w:ascii="宋体" w:hAnsi="宋体" w:cs="宋体"/>
                <w:bCs w:val="0"/>
                <w:spacing w:val="-2"/>
                <w:sz w:val="21"/>
                <w:szCs w:val="21"/>
              </w:rPr>
            </w:pPr>
            <w:bookmarkStart w:id="14" w:name="_Toc76052127"/>
            <w:r>
              <w:rPr>
                <w:rFonts w:hint="eastAsia" w:ascii="宋体" w:hAnsi="宋体" w:cs="宋体"/>
                <w:bCs w:val="0"/>
                <w:spacing w:val="-2"/>
                <w:sz w:val="21"/>
                <w:szCs w:val="21"/>
              </w:rPr>
              <w:t>课程名称</w:t>
            </w:r>
            <w:bookmarkEnd w:id="14"/>
          </w:p>
        </w:tc>
        <w:tc>
          <w:tcPr>
            <w:tcW w:w="3827" w:type="dxa"/>
            <w:shd w:val="clear" w:color="auto" w:fill="D8D8D8" w:themeFill="background1" w:themeFillShade="D9"/>
            <w:vAlign w:val="center"/>
          </w:tcPr>
          <w:p>
            <w:pPr>
              <w:pStyle w:val="13"/>
              <w:tabs>
                <w:tab w:val="center" w:pos="4153"/>
              </w:tabs>
              <w:spacing w:before="0" w:after="0"/>
              <w:outlineLvl w:val="9"/>
              <w:rPr>
                <w:rFonts w:ascii="宋体" w:hAnsi="宋体" w:cs="宋体"/>
                <w:bCs w:val="0"/>
                <w:spacing w:val="-2"/>
                <w:sz w:val="21"/>
                <w:szCs w:val="21"/>
              </w:rPr>
            </w:pPr>
            <w:bookmarkStart w:id="15" w:name="_Toc76052128"/>
            <w:r>
              <w:rPr>
                <w:rFonts w:hint="eastAsia" w:ascii="宋体" w:hAnsi="宋体" w:cs="宋体"/>
                <w:bCs w:val="0"/>
                <w:spacing w:val="-2"/>
                <w:sz w:val="21"/>
                <w:szCs w:val="21"/>
              </w:rPr>
              <w:t>课程目标</w:t>
            </w:r>
            <w:bookmarkEnd w:id="15"/>
          </w:p>
        </w:tc>
        <w:tc>
          <w:tcPr>
            <w:tcW w:w="3544" w:type="dxa"/>
            <w:shd w:val="clear" w:color="auto" w:fill="D8D8D8" w:themeFill="background1" w:themeFillShade="D9"/>
            <w:vAlign w:val="center"/>
          </w:tcPr>
          <w:p>
            <w:pPr>
              <w:pStyle w:val="13"/>
              <w:tabs>
                <w:tab w:val="center" w:pos="4153"/>
              </w:tabs>
              <w:spacing w:before="0" w:after="0"/>
              <w:outlineLvl w:val="9"/>
              <w:rPr>
                <w:rFonts w:ascii="宋体" w:hAnsi="宋体" w:cs="宋体"/>
                <w:bCs w:val="0"/>
                <w:spacing w:val="-2"/>
                <w:sz w:val="21"/>
                <w:szCs w:val="21"/>
              </w:rPr>
            </w:pPr>
            <w:bookmarkStart w:id="16" w:name="_Toc76052129"/>
            <w:r>
              <w:rPr>
                <w:rFonts w:hint="eastAsia" w:ascii="宋体" w:hAnsi="宋体" w:cs="宋体"/>
                <w:bCs w:val="0"/>
                <w:spacing w:val="-2"/>
                <w:sz w:val="21"/>
                <w:szCs w:val="21"/>
              </w:rPr>
              <w:t>主要内容</w:t>
            </w:r>
            <w:bookmarkEnd w:id="16"/>
          </w:p>
        </w:tc>
        <w:tc>
          <w:tcPr>
            <w:tcW w:w="3827" w:type="dxa"/>
            <w:shd w:val="clear" w:color="auto" w:fill="D8D8D8" w:themeFill="background1" w:themeFillShade="D9"/>
            <w:vAlign w:val="center"/>
          </w:tcPr>
          <w:p>
            <w:pPr>
              <w:pStyle w:val="13"/>
              <w:tabs>
                <w:tab w:val="center" w:pos="4153"/>
              </w:tabs>
              <w:spacing w:before="0" w:after="0"/>
              <w:outlineLvl w:val="9"/>
              <w:rPr>
                <w:rFonts w:ascii="宋体" w:hAnsi="宋体" w:cs="宋体"/>
                <w:bCs w:val="0"/>
                <w:spacing w:val="-2"/>
                <w:sz w:val="21"/>
                <w:szCs w:val="21"/>
              </w:rPr>
            </w:pPr>
            <w:bookmarkStart w:id="17" w:name="_Toc76052130"/>
            <w:r>
              <w:rPr>
                <w:rFonts w:hint="eastAsia" w:ascii="宋体" w:hAnsi="宋体" w:cs="宋体"/>
                <w:bCs w:val="0"/>
                <w:spacing w:val="-2"/>
                <w:sz w:val="21"/>
                <w:szCs w:val="21"/>
              </w:rPr>
              <w:t>教学要求</w:t>
            </w:r>
            <w:bookmarkEnd w:id="17"/>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spacing w:before="114" w:beforeLines="30"/>
              <w:jc w:val="center"/>
              <w:rPr>
                <w:rFonts w:cs="宋体"/>
                <w:sz w:val="21"/>
                <w:szCs w:val="21"/>
              </w:rPr>
            </w:pPr>
            <w:r>
              <w:rPr>
                <w:rFonts w:hint="eastAsia" w:cs="宋体"/>
                <w:sz w:val="21"/>
                <w:szCs w:val="21"/>
              </w:rPr>
              <w:t>1</w:t>
            </w:r>
          </w:p>
        </w:tc>
        <w:tc>
          <w:tcPr>
            <w:tcW w:w="1843" w:type="dxa"/>
            <w:vAlign w:val="center"/>
          </w:tcPr>
          <w:p>
            <w:pPr>
              <w:spacing w:before="114" w:beforeLines="30"/>
              <w:jc w:val="center"/>
              <w:rPr>
                <w:rFonts w:cs="宋体"/>
                <w:sz w:val="21"/>
                <w:szCs w:val="21"/>
              </w:rPr>
            </w:pPr>
            <w:r>
              <w:rPr>
                <w:rFonts w:hint="eastAsia" w:cs="宋体"/>
                <w:sz w:val="21"/>
                <w:szCs w:val="21"/>
              </w:rPr>
              <w:t>电子商务概论</w:t>
            </w:r>
          </w:p>
        </w:tc>
        <w:tc>
          <w:tcPr>
            <w:tcW w:w="3827" w:type="dxa"/>
            <w:vAlign w:val="center"/>
          </w:tcPr>
          <w:p>
            <w:pPr>
              <w:rPr>
                <w:sz w:val="21"/>
                <w:szCs w:val="21"/>
              </w:rPr>
            </w:pPr>
            <w:r>
              <w:rPr>
                <w:rFonts w:hint="eastAsia"/>
                <w:sz w:val="21"/>
                <w:szCs w:val="21"/>
              </w:rPr>
              <w:t>1.素质目标:具备社会主义核心价值观、具有依法依规开展电子商务活动的意识、诚信服务意识,积极维护公平商业竞争环境。</w:t>
            </w:r>
          </w:p>
          <w:p>
            <w:pPr>
              <w:rPr>
                <w:sz w:val="21"/>
                <w:szCs w:val="21"/>
              </w:rPr>
            </w:pPr>
            <w:r>
              <w:rPr>
                <w:rFonts w:hint="eastAsia"/>
                <w:sz w:val="21"/>
                <w:szCs w:val="21"/>
              </w:rPr>
              <w:t>2.知识目标:掌握电子商务基本概念和分类;掌握电子商务功能与特征:了解电子商务的实现要点:熟练掌握电子商务的模式、网上购物的一般流程:掌握网络营销的策略及步骤:理解电子商务物流的作用:了解电子商务客户服务的作用。</w:t>
            </w:r>
          </w:p>
          <w:p>
            <w:pPr>
              <w:rPr>
                <w:rFonts w:cs="宋体"/>
                <w:sz w:val="21"/>
                <w:szCs w:val="21"/>
              </w:rPr>
            </w:pPr>
            <w:r>
              <w:rPr>
                <w:rFonts w:hint="eastAsia"/>
                <w:sz w:val="21"/>
                <w:szCs w:val="21"/>
              </w:rPr>
              <w:t> 3.能力目标:能在电子商务网站上熟练运用即时通信工具进行沟通:熟悉网上银行业务:能熟练在电子商务网站上完成交易等:能够从网上收集商务信息并有一定辨别真伪信息的能力:能够设计简单的网络营销策划方案:能够为企业选择合适的物流方式:掌握网上开店的流程。</w:t>
            </w:r>
          </w:p>
        </w:tc>
        <w:tc>
          <w:tcPr>
            <w:tcW w:w="3544" w:type="dxa"/>
            <w:vAlign w:val="center"/>
          </w:tcPr>
          <w:p>
            <w:pPr>
              <w:rPr>
                <w:sz w:val="21"/>
                <w:szCs w:val="21"/>
              </w:rPr>
            </w:pPr>
            <w:r>
              <w:rPr>
                <w:rFonts w:hint="eastAsia"/>
                <w:sz w:val="21"/>
                <w:szCs w:val="21"/>
              </w:rPr>
              <w:t>本课程主要内容包括:电子商务概述、电子商务市场分析、电子商务的其他应用、电子商务安全、网络营销、网络信息搜索、电子支付、电子商务物流、电子商务客户服务等。</w:t>
            </w:r>
          </w:p>
        </w:tc>
        <w:tc>
          <w:tcPr>
            <w:tcW w:w="3827" w:type="dxa"/>
            <w:vAlign w:val="center"/>
          </w:tcPr>
          <w:p>
            <w:pPr>
              <w:rPr>
                <w:sz w:val="21"/>
                <w:szCs w:val="21"/>
              </w:rPr>
            </w:pPr>
            <w:r>
              <w:rPr>
                <w:rFonts w:hint="eastAsia"/>
                <w:sz w:val="21"/>
                <w:szCs w:val="21"/>
              </w:rPr>
              <w:t>1.教师通过案例分析激发学生学习电子商务专业的兴趣。通过课程思政,帮助学生树立正确的三观,能诚信从事商务活动</w:t>
            </w:r>
          </w:p>
          <w:p>
            <w:pPr>
              <w:rPr>
                <w:sz w:val="21"/>
                <w:szCs w:val="21"/>
              </w:rPr>
            </w:pPr>
            <w:r>
              <w:rPr>
                <w:rFonts w:hint="eastAsia"/>
                <w:sz w:val="21"/>
                <w:szCs w:val="21"/>
              </w:rPr>
              <w:t>2.教师通过系统让学生理解电子商务基本理论、热点及发展趋势。通过案例教学法、体验法,让学生感知电子商务带来的便利并能综合运用理论解决电子商务实际问题,采用超星平台丰言课程教学资源。</w:t>
            </w:r>
          </w:p>
          <w:p>
            <w:pPr>
              <w:rPr>
                <w:sz w:val="21"/>
                <w:szCs w:val="21"/>
              </w:rPr>
            </w:pPr>
            <w:r>
              <w:rPr>
                <w:rFonts w:hint="eastAsia"/>
                <w:sz w:val="21"/>
                <w:szCs w:val="21"/>
              </w:rPr>
              <w:t> 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49" w:hRule="atLeast"/>
        </w:trPr>
        <w:tc>
          <w:tcPr>
            <w:tcW w:w="959" w:type="dxa"/>
            <w:vAlign w:val="center"/>
          </w:tcPr>
          <w:p>
            <w:pPr>
              <w:spacing w:before="114" w:beforeLines="30"/>
              <w:jc w:val="center"/>
              <w:rPr>
                <w:rFonts w:cs="宋体"/>
                <w:sz w:val="21"/>
                <w:szCs w:val="21"/>
              </w:rPr>
            </w:pPr>
            <w:r>
              <w:rPr>
                <w:rFonts w:hint="eastAsia" w:cs="宋体"/>
                <w:sz w:val="21"/>
                <w:szCs w:val="21"/>
              </w:rPr>
              <w:t>2</w:t>
            </w:r>
          </w:p>
        </w:tc>
        <w:tc>
          <w:tcPr>
            <w:tcW w:w="1843" w:type="dxa"/>
            <w:vAlign w:val="center"/>
          </w:tcPr>
          <w:p>
            <w:pPr>
              <w:spacing w:before="114" w:beforeLines="30"/>
              <w:jc w:val="center"/>
              <w:rPr>
                <w:rFonts w:cs="宋体"/>
                <w:sz w:val="21"/>
                <w:szCs w:val="21"/>
              </w:rPr>
            </w:pPr>
            <w:r>
              <w:rPr>
                <w:rFonts w:hint="eastAsia" w:cs="宋体"/>
                <w:sz w:val="21"/>
                <w:szCs w:val="21"/>
              </w:rPr>
              <w:t>货物贸易理论与实务</w:t>
            </w:r>
          </w:p>
        </w:tc>
        <w:tc>
          <w:tcPr>
            <w:tcW w:w="3827" w:type="dxa"/>
            <w:vAlign w:val="center"/>
          </w:tcPr>
          <w:p>
            <w:pPr>
              <w:rPr>
                <w:sz w:val="21"/>
                <w:szCs w:val="21"/>
              </w:rPr>
            </w:pPr>
            <w:r>
              <w:rPr>
                <w:rFonts w:hint="eastAsia"/>
                <w:sz w:val="21"/>
                <w:szCs w:val="21"/>
              </w:rPr>
              <w:t>1.素质目标:具备社会主义核心价值观、具有依法依规开展电子商务活动的意识、诚信服务意识,积极维护公平商业竞争环境。</w:t>
            </w:r>
          </w:p>
          <w:p>
            <w:pPr>
              <w:rPr>
                <w:sz w:val="21"/>
                <w:szCs w:val="21"/>
              </w:rPr>
            </w:pPr>
            <w:r>
              <w:rPr>
                <w:rFonts w:hint="eastAsia"/>
                <w:sz w:val="21"/>
                <w:szCs w:val="21"/>
              </w:rPr>
              <w:t>2.知识目标:掌握货物贸易基本知识;掌握货物贸易术语:了解货物贸易政策等</w:t>
            </w:r>
          </w:p>
          <w:p>
            <w:pPr>
              <w:rPr>
                <w:sz w:val="21"/>
                <w:szCs w:val="21"/>
              </w:rPr>
            </w:pPr>
            <w:r>
              <w:rPr>
                <w:rFonts w:hint="eastAsia"/>
                <w:sz w:val="21"/>
                <w:szCs w:val="21"/>
              </w:rPr>
              <w:t>3.能力目标: 能进行商品与服务描述、能填制合同和摘录合同要件、能进行货运、报检和报关的基本操作等</w:t>
            </w:r>
          </w:p>
        </w:tc>
        <w:tc>
          <w:tcPr>
            <w:tcW w:w="3544" w:type="dxa"/>
            <w:vAlign w:val="center"/>
          </w:tcPr>
          <w:p>
            <w:pPr>
              <w:rPr>
                <w:sz w:val="21"/>
                <w:szCs w:val="21"/>
              </w:rPr>
            </w:pPr>
            <w:r>
              <w:rPr>
                <w:rFonts w:hint="eastAsia"/>
                <w:sz w:val="21"/>
                <w:szCs w:val="21"/>
              </w:rPr>
              <w:t>本课程主要内容包括：货物贸易的基本知识和理论，贸易惯例和贸易术语，货物贸易的标的物，货物运输，货物运输保险，商品价格，贸易政策和措施，货款收付，商检、索赔、不可抗力和仲裁，交易磋商、合同签订和履行，贸易方式等</w:t>
            </w:r>
          </w:p>
        </w:tc>
        <w:tc>
          <w:tcPr>
            <w:tcW w:w="3827" w:type="dxa"/>
            <w:vAlign w:val="center"/>
          </w:tcPr>
          <w:p>
            <w:pPr>
              <w:rPr>
                <w:sz w:val="21"/>
                <w:szCs w:val="21"/>
              </w:rPr>
            </w:pPr>
            <w:r>
              <w:rPr>
                <w:rFonts w:hint="eastAsia"/>
                <w:sz w:val="21"/>
                <w:szCs w:val="21"/>
              </w:rPr>
              <w:t>1.教师在教学过程中做到讲练结合,让学生通过软件的使用掌握网页设计与制作的技能技巧:通过分组训练,培养学生的团结合作意识。</w:t>
            </w:r>
          </w:p>
          <w:p>
            <w:pPr>
              <w:rPr>
                <w:sz w:val="21"/>
                <w:szCs w:val="21"/>
              </w:rPr>
            </w:pPr>
            <w:r>
              <w:rPr>
                <w:rFonts w:hint="eastAsia"/>
                <w:sz w:val="21"/>
                <w:szCs w:val="21"/>
              </w:rPr>
              <w:t>2.采用“理论+实训”的项目教学法,通过任务驱动让学生完成实训任务:通过网络平台资源强化学生的技能训练</w:t>
            </w:r>
          </w:p>
          <w:p>
            <w:pPr>
              <w:rPr>
                <w:sz w:val="21"/>
                <w:szCs w:val="21"/>
              </w:rPr>
            </w:pPr>
            <w:r>
              <w:rPr>
                <w:rFonts w:hint="eastAsia"/>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49" w:hRule="atLeast"/>
        </w:trPr>
        <w:tc>
          <w:tcPr>
            <w:tcW w:w="959" w:type="dxa"/>
            <w:vAlign w:val="center"/>
          </w:tcPr>
          <w:p>
            <w:pPr>
              <w:spacing w:before="114" w:beforeLines="30"/>
              <w:jc w:val="center"/>
              <w:rPr>
                <w:rFonts w:cs="宋体"/>
                <w:sz w:val="21"/>
                <w:szCs w:val="21"/>
              </w:rPr>
            </w:pPr>
            <w:r>
              <w:rPr>
                <w:rFonts w:hint="eastAsia" w:cs="宋体"/>
                <w:sz w:val="21"/>
                <w:szCs w:val="21"/>
              </w:rPr>
              <w:t>3</w:t>
            </w:r>
          </w:p>
        </w:tc>
        <w:tc>
          <w:tcPr>
            <w:tcW w:w="1843" w:type="dxa"/>
            <w:vAlign w:val="center"/>
          </w:tcPr>
          <w:p>
            <w:pPr>
              <w:spacing w:before="114" w:beforeLines="30"/>
              <w:jc w:val="center"/>
              <w:rPr>
                <w:rFonts w:cs="宋体"/>
                <w:sz w:val="21"/>
                <w:szCs w:val="21"/>
              </w:rPr>
            </w:pPr>
            <w:r>
              <w:rPr>
                <w:rFonts w:hint="eastAsia" w:cs="宋体"/>
                <w:sz w:val="21"/>
                <w:szCs w:val="21"/>
              </w:rPr>
              <w:t>网络营销</w:t>
            </w:r>
          </w:p>
        </w:tc>
        <w:tc>
          <w:tcPr>
            <w:tcW w:w="3827" w:type="dxa"/>
            <w:vAlign w:val="center"/>
          </w:tcPr>
          <w:p>
            <w:pPr>
              <w:rPr>
                <w:sz w:val="21"/>
                <w:szCs w:val="21"/>
              </w:rPr>
            </w:pPr>
            <w:r>
              <w:rPr>
                <w:rFonts w:hint="eastAsia"/>
                <w:sz w:val="21"/>
                <w:szCs w:val="21"/>
              </w:rPr>
              <w:t>1.素质目标:建立良好的网络营销分析框架,将最重要的分析、思辨、判断、决策、表达、沟通及创新、创意能力的培养贯穿始终。</w:t>
            </w:r>
          </w:p>
          <w:p>
            <w:pPr>
              <w:rPr>
                <w:sz w:val="21"/>
                <w:szCs w:val="21"/>
              </w:rPr>
            </w:pPr>
            <w:r>
              <w:rPr>
                <w:rFonts w:hint="eastAsia"/>
                <w:sz w:val="21"/>
                <w:szCs w:val="21"/>
              </w:rPr>
              <w:t>2.知识目标:熟练掌握目前市场上主流的网络推广的方式和工具,并能根据行业、企业和产品的特点,制订切实可行的推广创意和策划文案。</w:t>
            </w:r>
          </w:p>
          <w:p>
            <w:pPr>
              <w:rPr>
                <w:sz w:val="21"/>
                <w:szCs w:val="21"/>
              </w:rPr>
            </w:pPr>
            <w:r>
              <w:rPr>
                <w:rFonts w:hint="eastAsia"/>
                <w:sz w:val="21"/>
                <w:szCs w:val="21"/>
              </w:rPr>
              <w:t>3.能力目标:能在网络营销方法论层面占据一定的制高点,能对具体企业的网络营销业务提出系统的解决方案。</w:t>
            </w:r>
          </w:p>
        </w:tc>
        <w:tc>
          <w:tcPr>
            <w:tcW w:w="3544" w:type="dxa"/>
            <w:vAlign w:val="center"/>
          </w:tcPr>
          <w:p>
            <w:pPr>
              <w:rPr>
                <w:sz w:val="21"/>
                <w:szCs w:val="21"/>
              </w:rPr>
            </w:pPr>
            <w:r>
              <w:rPr>
                <w:rFonts w:hint="eastAsia"/>
                <w:sz w:val="21"/>
                <w:szCs w:val="21"/>
              </w:rPr>
              <w:t>本课程涵盖网络营销的基本</w:t>
            </w:r>
          </w:p>
          <w:p>
            <w:pPr>
              <w:rPr>
                <w:sz w:val="21"/>
                <w:szCs w:val="21"/>
              </w:rPr>
            </w:pPr>
            <w:r>
              <w:rPr>
                <w:rFonts w:hint="eastAsia"/>
                <w:sz w:val="21"/>
                <w:szCs w:val="21"/>
              </w:rPr>
              <w:t>理论与知识:网络营销市场分析与调研的内容方法及程序:营销型企业网站诊断与优化各种社交媒体及自媒体网络平台的建设:搜索引擎营销与新媒体营销的方法与案例:不同商业模式、不同行业类别、不同规模企业进行网络营销策略的实施与优化。</w:t>
            </w:r>
          </w:p>
        </w:tc>
        <w:tc>
          <w:tcPr>
            <w:tcW w:w="3827" w:type="dxa"/>
            <w:vAlign w:val="center"/>
          </w:tcPr>
          <w:p>
            <w:pPr>
              <w:rPr>
                <w:sz w:val="21"/>
                <w:szCs w:val="21"/>
              </w:rPr>
            </w:pPr>
            <w:r>
              <w:rPr>
                <w:rFonts w:hint="eastAsia"/>
                <w:sz w:val="21"/>
                <w:szCs w:val="21"/>
              </w:rPr>
              <w:t>1.教师构建完善的课程体系及丰富的教学资源:设计在线测试题,运用教学软件,增强在线课堂师生互动。帮助学生树立正确法治观念,培养良好的职业道德意识,了解掌握网络营销领域的法律法规和相关政策,树立正确的网络营销价值观,培养诚信敬业、德法兼修的职业素养</w:t>
            </w:r>
          </w:p>
          <w:p>
            <w:pPr>
              <w:rPr>
                <w:sz w:val="21"/>
                <w:szCs w:val="21"/>
              </w:rPr>
            </w:pPr>
            <w:r>
              <w:rPr>
                <w:rFonts w:hint="eastAsia"/>
                <w:sz w:val="21"/>
                <w:szCs w:val="21"/>
              </w:rPr>
              <w:t>2.采用任务驱动、案例分析、项目教学等方法。采用线上SPOC及慕课平台及线下实训机房翻转课堂的混合式教学。以教学视频为中心,配套学习PPT、习题测验、讨论、课程资料、题库等资源。</w:t>
            </w:r>
          </w:p>
          <w:p>
            <w:pPr>
              <w:rPr>
                <w:sz w:val="21"/>
                <w:szCs w:val="21"/>
              </w:rPr>
            </w:pPr>
            <w:r>
              <w:rPr>
                <w:rFonts w:hint="eastAsia"/>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49" w:hRule="atLeast"/>
        </w:trPr>
        <w:tc>
          <w:tcPr>
            <w:tcW w:w="959" w:type="dxa"/>
            <w:vAlign w:val="center"/>
          </w:tcPr>
          <w:p>
            <w:pPr>
              <w:spacing w:before="114" w:beforeLines="30"/>
              <w:jc w:val="center"/>
              <w:rPr>
                <w:rFonts w:cs="宋体"/>
                <w:sz w:val="21"/>
                <w:szCs w:val="21"/>
              </w:rPr>
            </w:pPr>
            <w:r>
              <w:rPr>
                <w:rFonts w:hint="eastAsia" w:cs="宋体"/>
                <w:sz w:val="21"/>
                <w:szCs w:val="21"/>
              </w:rPr>
              <w:t>4</w:t>
            </w:r>
          </w:p>
        </w:tc>
        <w:tc>
          <w:tcPr>
            <w:tcW w:w="1843" w:type="dxa"/>
            <w:vAlign w:val="center"/>
          </w:tcPr>
          <w:p>
            <w:pPr>
              <w:spacing w:before="114" w:beforeLines="30"/>
              <w:jc w:val="center"/>
              <w:rPr>
                <w:rFonts w:cs="宋体"/>
                <w:sz w:val="21"/>
                <w:szCs w:val="21"/>
              </w:rPr>
            </w:pPr>
            <w:r>
              <w:rPr>
                <w:rFonts w:hint="eastAsia" w:cs="宋体"/>
                <w:sz w:val="21"/>
                <w:szCs w:val="21"/>
              </w:rPr>
              <w:t>图形图像处理</w:t>
            </w:r>
          </w:p>
        </w:tc>
        <w:tc>
          <w:tcPr>
            <w:tcW w:w="3827" w:type="dxa"/>
            <w:vAlign w:val="center"/>
          </w:tcPr>
          <w:p>
            <w:pPr>
              <w:rPr>
                <w:rFonts w:cs="宋体"/>
                <w:sz w:val="21"/>
                <w:szCs w:val="21"/>
              </w:rPr>
            </w:pPr>
            <w:r>
              <w:rPr>
                <w:rFonts w:hint="eastAsia" w:cs="宋体"/>
                <w:sz w:val="21"/>
                <w:szCs w:val="21"/>
              </w:rPr>
              <w:t>1.素质目标:在培养学生的构图思维和方法基础,培养工匠精神和创新意识。</w:t>
            </w:r>
          </w:p>
          <w:p>
            <w:pPr>
              <w:rPr>
                <w:rFonts w:cs="宋体"/>
                <w:sz w:val="21"/>
                <w:szCs w:val="21"/>
              </w:rPr>
            </w:pPr>
            <w:r>
              <w:rPr>
                <w:rFonts w:hint="eastAsia" w:cs="宋体"/>
                <w:sz w:val="21"/>
                <w:szCs w:val="21"/>
              </w:rPr>
              <w:t>2.知识目标:掌握 PS的基本工具与常用菜单的使用方法。</w:t>
            </w:r>
          </w:p>
          <w:p>
            <w:pPr>
              <w:rPr>
                <w:rFonts w:cs="宋体"/>
                <w:sz w:val="21"/>
                <w:szCs w:val="21"/>
              </w:rPr>
            </w:pPr>
            <w:r>
              <w:rPr>
                <w:rFonts w:hint="eastAsia" w:cs="宋体"/>
                <w:sz w:val="21"/>
                <w:szCs w:val="21"/>
              </w:rPr>
              <w:t>3.能力目标:使学生能熟练掌握和使用 PS各种基本的工具及操作方法,图形的设计技能和技法,为设</w:t>
            </w:r>
          </w:p>
          <w:p>
            <w:pPr>
              <w:rPr>
                <w:rFonts w:cs="宋体"/>
                <w:sz w:val="21"/>
                <w:szCs w:val="21"/>
              </w:rPr>
            </w:pPr>
            <w:r>
              <w:rPr>
                <w:rFonts w:hint="eastAsia" w:cs="宋体"/>
                <w:sz w:val="21"/>
                <w:szCs w:val="21"/>
              </w:rPr>
              <w:t>计复杂图像打下理论和实践基础。</w:t>
            </w:r>
          </w:p>
        </w:tc>
        <w:tc>
          <w:tcPr>
            <w:tcW w:w="3544" w:type="dxa"/>
            <w:vAlign w:val="center"/>
          </w:tcPr>
          <w:p>
            <w:pPr>
              <w:rPr>
                <w:rFonts w:cs="宋体"/>
                <w:sz w:val="21"/>
                <w:szCs w:val="21"/>
              </w:rPr>
            </w:pPr>
            <w:r>
              <w:rPr>
                <w:rFonts w:hint="eastAsia" w:cs="宋体"/>
                <w:sz w:val="21"/>
                <w:szCs w:val="21"/>
              </w:rPr>
              <w:t>本课程主要了解 PS</w:t>
            </w:r>
          </w:p>
          <w:p>
            <w:pPr>
              <w:rPr>
                <w:rFonts w:cs="宋体"/>
                <w:sz w:val="21"/>
                <w:szCs w:val="21"/>
              </w:rPr>
            </w:pPr>
            <w:r>
              <w:rPr>
                <w:rFonts w:hint="eastAsia" w:cs="宋体"/>
                <w:sz w:val="21"/>
                <w:szCs w:val="21"/>
              </w:rPr>
              <w:t>件的基础知识,熟悉掌握软的基础操作和界面:了解填充图像颜色所要使用的工具和具体位置,选择合适的色彩模式填充:掌握图形的选择、编辑、基础的常规操作:掌握文字与文本编辑工具,并进行图文的编辑、排版:掌握对位图做图像的处理以及位图和矢量图的转换操作。</w:t>
            </w:r>
          </w:p>
        </w:tc>
        <w:tc>
          <w:tcPr>
            <w:tcW w:w="3827" w:type="dxa"/>
            <w:vAlign w:val="center"/>
          </w:tcPr>
          <w:p>
            <w:pPr>
              <w:rPr>
                <w:rFonts w:cs="宋体"/>
                <w:sz w:val="21"/>
                <w:szCs w:val="21"/>
              </w:rPr>
            </w:pPr>
            <w:r>
              <w:rPr>
                <w:rFonts w:hint="eastAsia" w:cs="宋体"/>
                <w:sz w:val="21"/>
                <w:szCs w:val="21"/>
              </w:rPr>
              <w:t>1.教师引入典型工作任务,让学生学会使用软件自主进行乎面设计在锻炼学生的动手力的同时,使学生能熟练掌握和使用软件基本工具的操作方法。在教学过程中培养严谨</w:t>
            </w:r>
          </w:p>
          <w:p>
            <w:pPr>
              <w:rPr>
                <w:rFonts w:cs="宋体"/>
                <w:sz w:val="21"/>
                <w:szCs w:val="21"/>
              </w:rPr>
            </w:pPr>
            <w:r>
              <w:rPr>
                <w:rFonts w:hint="eastAsia" w:cs="宋体"/>
                <w:sz w:val="21"/>
                <w:szCs w:val="21"/>
              </w:rPr>
              <w:t>细致、精益求精的工匠精神,培养创新意识和职业道德素养。</w:t>
            </w:r>
          </w:p>
          <w:p>
            <w:pPr>
              <w:rPr>
                <w:rFonts w:cs="宋体"/>
                <w:sz w:val="21"/>
                <w:szCs w:val="21"/>
              </w:rPr>
            </w:pPr>
            <w:r>
              <w:rPr>
                <w:rFonts w:hint="eastAsia" w:cs="宋体"/>
                <w:sz w:val="21"/>
                <w:szCs w:val="21"/>
              </w:rPr>
              <w:t>2.采用动画、视频、演示等多种形式的多媒体教学手段,充分调动学生的眼、耳、手,使教学不枯燥、教学效果直观。</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49" w:hRule="atLeast"/>
        </w:trPr>
        <w:tc>
          <w:tcPr>
            <w:tcW w:w="959" w:type="dxa"/>
            <w:vAlign w:val="center"/>
          </w:tcPr>
          <w:p>
            <w:pPr>
              <w:spacing w:before="114" w:beforeLines="30"/>
              <w:jc w:val="center"/>
              <w:rPr>
                <w:rFonts w:cs="宋体"/>
                <w:sz w:val="21"/>
                <w:szCs w:val="21"/>
              </w:rPr>
            </w:pPr>
            <w:r>
              <w:rPr>
                <w:rFonts w:hint="eastAsia" w:cs="宋体"/>
                <w:sz w:val="21"/>
                <w:szCs w:val="21"/>
              </w:rPr>
              <w:t>5</w:t>
            </w:r>
          </w:p>
        </w:tc>
        <w:tc>
          <w:tcPr>
            <w:tcW w:w="1843" w:type="dxa"/>
            <w:vAlign w:val="center"/>
          </w:tcPr>
          <w:p>
            <w:pPr>
              <w:spacing w:before="114" w:beforeLines="30"/>
              <w:jc w:val="center"/>
              <w:rPr>
                <w:rFonts w:cs="宋体"/>
                <w:sz w:val="21"/>
                <w:szCs w:val="21"/>
              </w:rPr>
            </w:pPr>
            <w:r>
              <w:rPr>
                <w:rFonts w:hint="eastAsia" w:cs="宋体"/>
                <w:sz w:val="21"/>
                <w:szCs w:val="21"/>
              </w:rPr>
              <w:t>网页设计与制作</w:t>
            </w:r>
          </w:p>
        </w:tc>
        <w:tc>
          <w:tcPr>
            <w:tcW w:w="3827" w:type="dxa"/>
            <w:vAlign w:val="center"/>
          </w:tcPr>
          <w:p>
            <w:pPr>
              <w:rPr>
                <w:rFonts w:cs="宋体"/>
                <w:sz w:val="21"/>
                <w:szCs w:val="21"/>
              </w:rPr>
            </w:pPr>
            <w:r>
              <w:rPr>
                <w:rFonts w:hint="eastAsia" w:cs="宋体"/>
                <w:sz w:val="21"/>
                <w:szCs w:val="21"/>
              </w:rPr>
              <w:t>1.素质目标:培养学生的综合分析能力,培训学生的自我学习能力,培养学生解决问题的能力</w:t>
            </w:r>
          </w:p>
          <w:p>
            <w:pPr>
              <w:rPr>
                <w:rFonts w:cs="宋体"/>
                <w:sz w:val="21"/>
                <w:szCs w:val="21"/>
              </w:rPr>
            </w:pPr>
            <w:r>
              <w:rPr>
                <w:rFonts w:hint="eastAsia" w:cs="宋体"/>
                <w:sz w:val="21"/>
                <w:szCs w:val="21"/>
              </w:rPr>
              <w:t>2.知识目标:掌握网页与网站的基本概念:掌握网页制作基础知识:掌握站点的建设与管理:掌握超文本标记语言HM</w:t>
            </w:r>
          </w:p>
          <w:p>
            <w:pPr>
              <w:rPr>
                <w:rFonts w:cs="宋体"/>
                <w:sz w:val="21"/>
                <w:szCs w:val="21"/>
              </w:rPr>
            </w:pPr>
            <w:r>
              <w:rPr>
                <w:rFonts w:hint="eastAsia" w:cs="宋体"/>
                <w:sz w:val="21"/>
                <w:szCs w:val="21"/>
              </w:rPr>
              <w:t>3.能力目标:掌握运用 DreaxweaverCS6网页制作软件制作网页:掌握HTML5网页文档结构:掌握HTML5网页基本元素的应用:能够运用CS+DIV进行网页布局:能够运用CSS进行网页美;掌握运用 Dreaxweaver CS66网</w:t>
            </w:r>
          </w:p>
          <w:p>
            <w:pPr>
              <w:rPr>
                <w:rFonts w:cs="宋体"/>
                <w:sz w:val="21"/>
                <w:szCs w:val="21"/>
              </w:rPr>
            </w:pPr>
            <w:r>
              <w:rPr>
                <w:rFonts w:hint="eastAsia" w:cs="宋体"/>
                <w:sz w:val="21"/>
                <w:szCs w:val="21"/>
              </w:rPr>
              <w:t>页制作软件制作网页。</w:t>
            </w:r>
          </w:p>
        </w:tc>
        <w:tc>
          <w:tcPr>
            <w:tcW w:w="3544" w:type="dxa"/>
            <w:vAlign w:val="center"/>
          </w:tcPr>
          <w:p>
            <w:pPr>
              <w:rPr>
                <w:rFonts w:cs="宋体"/>
                <w:sz w:val="21"/>
                <w:szCs w:val="21"/>
              </w:rPr>
            </w:pPr>
            <w:r>
              <w:rPr>
                <w:rFonts w:hint="eastAsia" w:cs="宋体"/>
                <w:sz w:val="21"/>
                <w:szCs w:val="21"/>
              </w:rPr>
              <w:t>本课程主要教学内容:HTML语言各类标签的使用，CSS和JS脚本语言的使用和嵌入，掌握DreaxweaverCS6软件的使用，运用所学软件能制作出简单网页。</w:t>
            </w:r>
          </w:p>
        </w:tc>
        <w:tc>
          <w:tcPr>
            <w:tcW w:w="3827" w:type="dxa"/>
            <w:vAlign w:val="center"/>
          </w:tcPr>
          <w:p>
            <w:pPr>
              <w:rPr>
                <w:rFonts w:cs="宋体"/>
                <w:sz w:val="21"/>
                <w:szCs w:val="21"/>
              </w:rPr>
            </w:pPr>
            <w:r>
              <w:rPr>
                <w:rFonts w:hint="eastAsia" w:cs="宋体"/>
                <w:sz w:val="21"/>
                <w:szCs w:val="21"/>
              </w:rPr>
              <w:t>1.教师在教学过程中做到讲练结合,让学生通过软件的使用掌握网页设计与制作的技能技巧:通过分组训练,培养学生的团结合作意识。</w:t>
            </w:r>
          </w:p>
          <w:p>
            <w:pPr>
              <w:rPr>
                <w:rFonts w:cs="宋体"/>
                <w:sz w:val="21"/>
                <w:szCs w:val="21"/>
              </w:rPr>
            </w:pPr>
            <w:r>
              <w:rPr>
                <w:rFonts w:hint="eastAsia" w:cs="宋体"/>
                <w:sz w:val="21"/>
                <w:szCs w:val="21"/>
              </w:rPr>
              <w:t>2.采用“理论+实训”的项目教学法,通过任务驱动让学生完成实训任务:通过网络平台资源强化学生的技能训练</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spacing w:before="114" w:beforeLines="30"/>
              <w:jc w:val="center"/>
              <w:rPr>
                <w:rFonts w:cs="宋体"/>
                <w:sz w:val="21"/>
                <w:szCs w:val="21"/>
              </w:rPr>
            </w:pPr>
            <w:r>
              <w:rPr>
                <w:rFonts w:hint="eastAsia" w:cs="宋体"/>
                <w:sz w:val="21"/>
                <w:szCs w:val="21"/>
              </w:rPr>
              <w:t>6</w:t>
            </w:r>
          </w:p>
        </w:tc>
        <w:tc>
          <w:tcPr>
            <w:tcW w:w="1843" w:type="dxa"/>
            <w:vAlign w:val="center"/>
          </w:tcPr>
          <w:p>
            <w:pPr>
              <w:spacing w:before="114" w:beforeLines="30"/>
              <w:jc w:val="center"/>
              <w:rPr>
                <w:rFonts w:cs="宋体"/>
                <w:sz w:val="21"/>
                <w:szCs w:val="21"/>
              </w:rPr>
            </w:pPr>
            <w:r>
              <w:rPr>
                <w:rFonts w:hint="eastAsia" w:cs="宋体"/>
                <w:sz w:val="21"/>
                <w:szCs w:val="21"/>
              </w:rPr>
              <w:t>电子商务网页设计与制作</w:t>
            </w:r>
          </w:p>
        </w:tc>
        <w:tc>
          <w:tcPr>
            <w:tcW w:w="3827" w:type="dxa"/>
            <w:vAlign w:val="center"/>
          </w:tcPr>
          <w:p>
            <w:pPr>
              <w:rPr>
                <w:rFonts w:cs="宋体"/>
                <w:sz w:val="21"/>
                <w:szCs w:val="21"/>
              </w:rPr>
            </w:pPr>
            <w:r>
              <w:rPr>
                <w:rFonts w:hint="eastAsia" w:cs="宋体"/>
                <w:sz w:val="21"/>
                <w:szCs w:val="21"/>
              </w:rPr>
              <w:t>1.素质目标:培养学生的综合分析能力,培训学生的自我学习能力,培养学生解决问题的能力</w:t>
            </w:r>
          </w:p>
          <w:p>
            <w:pPr>
              <w:rPr>
                <w:rFonts w:cs="宋体"/>
                <w:sz w:val="21"/>
                <w:szCs w:val="21"/>
              </w:rPr>
            </w:pPr>
            <w:r>
              <w:rPr>
                <w:rFonts w:hint="eastAsia" w:cs="宋体"/>
                <w:sz w:val="21"/>
                <w:szCs w:val="21"/>
              </w:rPr>
              <w:t>2.知识目标:掌握网页与网站的基本概念:掌握网页制作基础知识:掌握站点的建设与管理:掌握超文本标记语言HTML</w:t>
            </w:r>
          </w:p>
          <w:p>
            <w:pPr>
              <w:rPr>
                <w:rFonts w:cs="宋体"/>
                <w:sz w:val="21"/>
                <w:szCs w:val="21"/>
              </w:rPr>
            </w:pPr>
            <w:r>
              <w:rPr>
                <w:rFonts w:hint="eastAsia" w:cs="宋体"/>
                <w:sz w:val="21"/>
                <w:szCs w:val="21"/>
              </w:rPr>
              <w:t>3.能力目标:掌握运用 DreaxweaverCS6网页制作软件制作网页:掌握HTML5网页文档结构:掌握HTML5网页基本元素的应用:能够运用CS+DIV进行网页布局:能够运用CSS进行网页美;掌握运用 Dreaxweaver CS66网</w:t>
            </w:r>
          </w:p>
          <w:p>
            <w:pPr>
              <w:rPr>
                <w:rFonts w:cs="宋体"/>
                <w:sz w:val="21"/>
                <w:szCs w:val="21"/>
              </w:rPr>
            </w:pPr>
            <w:r>
              <w:rPr>
                <w:rFonts w:hint="eastAsia" w:cs="宋体"/>
                <w:sz w:val="21"/>
                <w:szCs w:val="21"/>
              </w:rPr>
              <w:t>页制作软件制作网页。</w:t>
            </w:r>
          </w:p>
        </w:tc>
        <w:tc>
          <w:tcPr>
            <w:tcW w:w="3544" w:type="dxa"/>
            <w:vAlign w:val="center"/>
          </w:tcPr>
          <w:p>
            <w:pPr>
              <w:rPr>
                <w:rFonts w:cs="宋体"/>
                <w:sz w:val="21"/>
                <w:szCs w:val="21"/>
              </w:rPr>
            </w:pPr>
            <w:r>
              <w:rPr>
                <w:rFonts w:hint="eastAsia" w:cs="宋体"/>
                <w:sz w:val="21"/>
                <w:szCs w:val="21"/>
              </w:rPr>
              <w:t>本课程主要教学内容:综合运用所学知识，对电商图片进行美化、优化处理:掌握网络市场环境分析的方法。了解企业网站的功能设计。不同类型企业网站的对比分析:了解域名的命名原则以及申请方法,设计域名。学会分析企业网站的风格:网站客户体验分析与诊断:流量统计软件的安装;撰写产品信息发布方案发布企业的产品供应信息:掌握网站运营推广的主要方式:利用相关网页设计软件对建立的电子商务网站进行规划设计等。</w:t>
            </w:r>
          </w:p>
        </w:tc>
        <w:tc>
          <w:tcPr>
            <w:tcW w:w="3827" w:type="dxa"/>
            <w:vAlign w:val="center"/>
          </w:tcPr>
          <w:p>
            <w:pPr>
              <w:rPr>
                <w:rFonts w:cs="宋体"/>
                <w:sz w:val="21"/>
                <w:szCs w:val="21"/>
              </w:rPr>
            </w:pPr>
            <w:r>
              <w:rPr>
                <w:rFonts w:hint="eastAsia" w:cs="宋体"/>
                <w:sz w:val="21"/>
                <w:szCs w:val="21"/>
              </w:rPr>
              <w:t>1.教师在教学过程中做到讲练结合,让学生通过软件的使用掌握网页设计与制作的技能技巧:通过分组训练,培养学生的团结合作意识。</w:t>
            </w:r>
          </w:p>
          <w:p>
            <w:pPr>
              <w:rPr>
                <w:rFonts w:cs="宋体"/>
                <w:sz w:val="21"/>
                <w:szCs w:val="21"/>
              </w:rPr>
            </w:pPr>
            <w:r>
              <w:rPr>
                <w:rFonts w:hint="eastAsia" w:cs="宋体"/>
                <w:sz w:val="21"/>
                <w:szCs w:val="21"/>
              </w:rPr>
              <w:t>2.采用“理论+实训”的项目教学法,通过任务驱动让学生完成实训任务:通过网络平台资源强化学生的技能训练</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spacing w:before="114" w:beforeLines="30"/>
              <w:jc w:val="center"/>
              <w:rPr>
                <w:rFonts w:cs="宋体"/>
                <w:sz w:val="21"/>
                <w:szCs w:val="21"/>
              </w:rPr>
            </w:pPr>
            <w:r>
              <w:rPr>
                <w:rFonts w:hint="eastAsia" w:cs="宋体"/>
                <w:sz w:val="21"/>
                <w:szCs w:val="21"/>
              </w:rPr>
              <w:t>7</w:t>
            </w:r>
          </w:p>
        </w:tc>
        <w:tc>
          <w:tcPr>
            <w:tcW w:w="1843" w:type="dxa"/>
            <w:vAlign w:val="center"/>
          </w:tcPr>
          <w:p>
            <w:pPr>
              <w:spacing w:before="114" w:beforeLines="30"/>
              <w:jc w:val="center"/>
              <w:rPr>
                <w:rFonts w:cs="宋体"/>
                <w:sz w:val="21"/>
                <w:szCs w:val="21"/>
              </w:rPr>
            </w:pPr>
            <w:r>
              <w:rPr>
                <w:rFonts w:hint="eastAsia" w:cs="宋体"/>
                <w:sz w:val="21"/>
                <w:szCs w:val="21"/>
              </w:rPr>
              <w:t>电子商务物流</w:t>
            </w:r>
          </w:p>
        </w:tc>
        <w:tc>
          <w:tcPr>
            <w:tcW w:w="3827" w:type="dxa"/>
            <w:vAlign w:val="center"/>
          </w:tcPr>
          <w:p>
            <w:pPr>
              <w:rPr>
                <w:rFonts w:cs="宋体"/>
                <w:sz w:val="21"/>
                <w:szCs w:val="21"/>
              </w:rPr>
            </w:pPr>
            <w:r>
              <w:rPr>
                <w:rFonts w:hint="eastAsia" w:cs="宋体"/>
                <w:sz w:val="21"/>
                <w:szCs w:val="21"/>
              </w:rPr>
              <w:t>1.素质目标:培养勇于创新、吃苦耐劳的精神,具有团队合作能力,形成客户至上的服务理念,养成善于观察思考、精研业务、认真工作的习惯,具有环保、节能和安全意识</w:t>
            </w:r>
          </w:p>
          <w:p>
            <w:pPr>
              <w:rPr>
                <w:rFonts w:cs="宋体"/>
                <w:sz w:val="21"/>
                <w:szCs w:val="21"/>
              </w:rPr>
            </w:pPr>
            <w:r>
              <w:rPr>
                <w:rFonts w:hint="eastAsia" w:cs="宋体"/>
                <w:sz w:val="21"/>
                <w:szCs w:val="21"/>
              </w:rPr>
              <w:t>2.知识目标:掌握电子商务与现代物流知识;掌握主要电子商务物流技术;掌握</w:t>
            </w:r>
          </w:p>
          <w:p>
            <w:pPr>
              <w:rPr>
                <w:rFonts w:cs="宋体"/>
                <w:sz w:val="21"/>
                <w:szCs w:val="21"/>
              </w:rPr>
            </w:pPr>
            <w:r>
              <w:rPr>
                <w:rFonts w:hint="eastAsia" w:cs="宋体"/>
                <w:sz w:val="21"/>
                <w:szCs w:val="21"/>
              </w:rPr>
              <w:t>电子商务下的供应链管理知识;掌握企业采购与供应物流管理知识;掌握电子商务下生产物 流计划与控制知识;掌握现代销售与逆向物流管理知识;掌握仓储管理与库存控制、保管原则等知识;了解搬运装卸与运输、包装合理化知识;掌握电子商务配送与配送中心知识;了解现代物流运作模式知识;了解物流服务管理流程,理解物流服务管理原则。</w:t>
            </w:r>
          </w:p>
          <w:p>
            <w:pPr>
              <w:rPr>
                <w:rFonts w:cs="宋体"/>
                <w:sz w:val="21"/>
                <w:szCs w:val="21"/>
              </w:rPr>
            </w:pPr>
            <w:r>
              <w:rPr>
                <w:rFonts w:hint="eastAsia" w:cs="宋体"/>
                <w:sz w:val="21"/>
                <w:szCs w:val="21"/>
              </w:rPr>
              <w:t>3.能力目标:能够识别包装标志,能够选用合适的材料包装快递商品;能够完成</w:t>
            </w:r>
          </w:p>
          <w:p>
            <w:pPr>
              <w:rPr>
                <w:rFonts w:cs="宋体"/>
                <w:sz w:val="21"/>
                <w:szCs w:val="21"/>
              </w:rPr>
            </w:pPr>
            <w:r>
              <w:rPr>
                <w:rFonts w:hint="eastAsia" w:cs="宋体"/>
                <w:sz w:val="21"/>
                <w:szCs w:val="21"/>
              </w:rPr>
              <w:t>网上发货操作和退换货操作:熟悉物流的基本流程;能够给客户提供良好的物流方面的客户服务;能够对快递公司进行比较选择;熟悉供应链管理和相关信息技术。</w:t>
            </w:r>
          </w:p>
        </w:tc>
        <w:tc>
          <w:tcPr>
            <w:tcW w:w="3544" w:type="dxa"/>
            <w:vAlign w:val="center"/>
          </w:tcPr>
          <w:p>
            <w:pPr>
              <w:rPr>
                <w:rFonts w:cs="宋体"/>
                <w:sz w:val="21"/>
                <w:szCs w:val="21"/>
              </w:rPr>
            </w:pPr>
            <w:r>
              <w:rPr>
                <w:rFonts w:hint="eastAsia" w:cs="宋体"/>
                <w:sz w:val="21"/>
                <w:szCs w:val="21"/>
              </w:rPr>
              <w:t>本课程主要教学内容：电子商务环境下物流规划原理和物流模式选择；仓储管理的基本概念、原理、功能和分类；运输的概念和功能；物流配送的基础和流程；物流信息的基本概念等</w:t>
            </w:r>
          </w:p>
        </w:tc>
        <w:tc>
          <w:tcPr>
            <w:tcW w:w="3827" w:type="dxa"/>
            <w:vAlign w:val="center"/>
          </w:tcPr>
          <w:p>
            <w:pPr>
              <w:rPr>
                <w:rFonts w:cs="宋体"/>
                <w:sz w:val="21"/>
                <w:szCs w:val="21"/>
              </w:rPr>
            </w:pPr>
            <w:r>
              <w:rPr>
                <w:rFonts w:hint="eastAsia" w:cs="宋体"/>
                <w:sz w:val="21"/>
                <w:szCs w:val="21"/>
              </w:rPr>
              <w:t>1.教师在教学过程中做到讲练结合,让学生通过软件的使用掌握网页设计与制作的技能技巧:通过分组训练,培养学生的团结合作意识。</w:t>
            </w:r>
          </w:p>
          <w:p>
            <w:pPr>
              <w:rPr>
                <w:rFonts w:cs="宋体"/>
                <w:sz w:val="21"/>
                <w:szCs w:val="21"/>
              </w:rPr>
            </w:pPr>
            <w:r>
              <w:rPr>
                <w:rFonts w:hint="eastAsia" w:cs="宋体"/>
                <w:sz w:val="21"/>
                <w:szCs w:val="21"/>
              </w:rPr>
              <w:t>2.采用“理论+实训”的项目教学法,通过任务驱动让学生完成实训任务:通过网络平台资源强化学生的技能训练</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3" w:hRule="atLeast"/>
        </w:trPr>
        <w:tc>
          <w:tcPr>
            <w:tcW w:w="959" w:type="dxa"/>
            <w:vAlign w:val="center"/>
          </w:tcPr>
          <w:p>
            <w:pPr>
              <w:spacing w:before="114" w:beforeLines="30"/>
              <w:jc w:val="center"/>
              <w:rPr>
                <w:rFonts w:cs="宋体"/>
                <w:sz w:val="21"/>
                <w:szCs w:val="21"/>
              </w:rPr>
            </w:pPr>
            <w:r>
              <w:rPr>
                <w:rFonts w:hint="eastAsia" w:cs="宋体"/>
                <w:sz w:val="21"/>
                <w:szCs w:val="21"/>
              </w:rPr>
              <w:t>8</w:t>
            </w:r>
          </w:p>
        </w:tc>
        <w:tc>
          <w:tcPr>
            <w:tcW w:w="1843" w:type="dxa"/>
            <w:vAlign w:val="center"/>
          </w:tcPr>
          <w:p>
            <w:pPr>
              <w:jc w:val="center"/>
              <w:rPr>
                <w:rFonts w:cs="宋体"/>
                <w:sz w:val="21"/>
                <w:szCs w:val="21"/>
              </w:rPr>
            </w:pPr>
            <w:r>
              <w:rPr>
                <w:rFonts w:hint="eastAsia" w:cs="宋体"/>
                <w:sz w:val="21"/>
                <w:szCs w:val="21"/>
              </w:rPr>
              <w:t>移动电子商务</w:t>
            </w:r>
          </w:p>
        </w:tc>
        <w:tc>
          <w:tcPr>
            <w:tcW w:w="3827" w:type="dxa"/>
            <w:vAlign w:val="center"/>
          </w:tcPr>
          <w:p>
            <w:pPr>
              <w:rPr>
                <w:rFonts w:cs="宋体"/>
                <w:sz w:val="21"/>
                <w:szCs w:val="21"/>
              </w:rPr>
            </w:pPr>
            <w:r>
              <w:rPr>
                <w:rFonts w:hint="eastAsia" w:cs="宋体"/>
                <w:sz w:val="21"/>
                <w:szCs w:val="21"/>
              </w:rPr>
              <w:t>1.素质目标:培养学生的综合分析能力,培训学生的自我学习能力。</w:t>
            </w:r>
          </w:p>
          <w:p>
            <w:pPr>
              <w:rPr>
                <w:rFonts w:cs="宋体"/>
                <w:sz w:val="21"/>
                <w:szCs w:val="21"/>
              </w:rPr>
            </w:pPr>
            <w:r>
              <w:rPr>
                <w:rFonts w:hint="eastAsia" w:cs="宋体"/>
                <w:sz w:val="21"/>
                <w:szCs w:val="21"/>
              </w:rPr>
              <w:t>2.知识目标了解移动通信技术、无线网络技术、二维码技术、射频识别技术、LBS定位服务技术、HTML5等技术和移动电子商务的安全需求、安全技术等:理解移动支付的含义、业务类型、价值网络、运营模式、主要支付模式及其支付流程。了解微信营销的功能与商务应用,掌握微信朋友圈营销的方法和微信公众号营销销的法。掌握020的营销方式和020营销方案的分析</w:t>
            </w:r>
          </w:p>
          <w:p>
            <w:pPr>
              <w:rPr>
                <w:rFonts w:cs="宋体"/>
                <w:sz w:val="21"/>
                <w:szCs w:val="21"/>
              </w:rPr>
            </w:pPr>
            <w:r>
              <w:rPr>
                <w:rFonts w:hint="eastAsia" w:cs="宋体"/>
                <w:sz w:val="21"/>
                <w:szCs w:val="21"/>
              </w:rPr>
              <w:t>3.能力目标:培养学生的移动互联网思维,能识别移动电子商务面临的主要威胁,掌握保护手机信息安全的方法和技巧:掌握不同移动营销工具的特点和使用方法,并能够根据不同行业找到合适的移动营销方式。</w:t>
            </w:r>
          </w:p>
        </w:tc>
        <w:tc>
          <w:tcPr>
            <w:tcW w:w="3544" w:type="dxa"/>
            <w:vAlign w:val="center"/>
          </w:tcPr>
          <w:p>
            <w:pPr>
              <w:rPr>
                <w:rFonts w:cs="宋体"/>
                <w:sz w:val="21"/>
                <w:szCs w:val="21"/>
              </w:rPr>
            </w:pPr>
            <w:r>
              <w:rPr>
                <w:rFonts w:hint="eastAsia" w:cs="宋体"/>
                <w:sz w:val="21"/>
                <w:szCs w:val="21"/>
              </w:rPr>
              <w:t>本课程主要学习移动电商行</w:t>
            </w:r>
          </w:p>
          <w:p>
            <w:pPr>
              <w:rPr>
                <w:rFonts w:cs="宋体"/>
                <w:sz w:val="21"/>
                <w:szCs w:val="21"/>
              </w:rPr>
            </w:pPr>
            <w:r>
              <w:rPr>
                <w:rFonts w:hint="eastAsia" w:cs="宋体"/>
                <w:sz w:val="21"/>
                <w:szCs w:val="21"/>
              </w:rPr>
              <w:t>业发展背景、移动电商行业发展现状、移动电商行业发展趋势、移动B2B运营、移动B2C运营、移动C2C运营、移动广告、手机淘宝、微商、微博、微信、020、APP、大数据在移动电商中的应用、移动电商时代典型企业案例等内容。</w:t>
            </w:r>
          </w:p>
        </w:tc>
        <w:tc>
          <w:tcPr>
            <w:tcW w:w="3827" w:type="dxa"/>
            <w:vAlign w:val="center"/>
          </w:tcPr>
          <w:p>
            <w:pPr>
              <w:rPr>
                <w:rFonts w:cs="宋体"/>
                <w:sz w:val="21"/>
                <w:szCs w:val="21"/>
              </w:rPr>
            </w:pPr>
            <w:r>
              <w:rPr>
                <w:rFonts w:hint="eastAsia" w:cs="宋体"/>
                <w:sz w:val="21"/>
                <w:szCs w:val="21"/>
              </w:rPr>
              <w:t>1.教师在教学过程中做到讲练结合,培养学生的移动互联网思维,并掌握主流移动营销工具的使用方法。通过分组训练,培养学生的团结合作意识。</w:t>
            </w:r>
          </w:p>
          <w:p>
            <w:pPr>
              <w:rPr>
                <w:rFonts w:cs="宋体"/>
                <w:sz w:val="21"/>
                <w:szCs w:val="21"/>
              </w:rPr>
            </w:pPr>
            <w:r>
              <w:rPr>
                <w:rFonts w:hint="eastAsia" w:cs="宋体"/>
                <w:sz w:val="21"/>
                <w:szCs w:val="21"/>
              </w:rPr>
              <w:t>2.采用“理论+实训”的教学方处通过任务驱动让学生完成训任务。</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3" w:hRule="atLeast"/>
        </w:trPr>
        <w:tc>
          <w:tcPr>
            <w:tcW w:w="959" w:type="dxa"/>
            <w:vAlign w:val="center"/>
          </w:tcPr>
          <w:p>
            <w:pPr>
              <w:spacing w:before="114" w:beforeLines="30"/>
              <w:jc w:val="center"/>
              <w:rPr>
                <w:rFonts w:cs="宋体"/>
                <w:sz w:val="21"/>
                <w:szCs w:val="21"/>
              </w:rPr>
            </w:pPr>
            <w:r>
              <w:rPr>
                <w:rFonts w:hint="eastAsia" w:cs="宋体"/>
                <w:sz w:val="21"/>
                <w:szCs w:val="21"/>
              </w:rPr>
              <w:t>9</w:t>
            </w:r>
          </w:p>
        </w:tc>
        <w:tc>
          <w:tcPr>
            <w:tcW w:w="1843" w:type="dxa"/>
            <w:vAlign w:val="center"/>
          </w:tcPr>
          <w:p>
            <w:pPr>
              <w:jc w:val="center"/>
              <w:rPr>
                <w:rFonts w:cs="宋体"/>
                <w:sz w:val="21"/>
                <w:szCs w:val="21"/>
              </w:rPr>
            </w:pPr>
            <w:r>
              <w:rPr>
                <w:rFonts w:hint="eastAsia" w:cs="宋体"/>
                <w:sz w:val="21"/>
                <w:szCs w:val="21"/>
              </w:rPr>
              <w:t>客户关系管理</w:t>
            </w:r>
          </w:p>
        </w:tc>
        <w:tc>
          <w:tcPr>
            <w:tcW w:w="3827" w:type="dxa"/>
            <w:vAlign w:val="center"/>
          </w:tcPr>
          <w:p>
            <w:pPr>
              <w:rPr>
                <w:rFonts w:cs="宋体"/>
                <w:sz w:val="21"/>
                <w:szCs w:val="21"/>
              </w:rPr>
            </w:pPr>
            <w:r>
              <w:rPr>
                <w:rFonts w:hint="eastAsia" w:cs="宋体"/>
                <w:sz w:val="21"/>
                <w:szCs w:val="21"/>
              </w:rPr>
              <w:t>1.素质目标:爱岗敬业,学会换位思考,践行社会主义核心价值观和工匠精神,始终为客户提供优质服务。</w:t>
            </w:r>
          </w:p>
          <w:p>
            <w:pPr>
              <w:rPr>
                <w:rFonts w:cs="宋体"/>
                <w:sz w:val="21"/>
                <w:szCs w:val="21"/>
              </w:rPr>
            </w:pPr>
            <w:r>
              <w:rPr>
                <w:rFonts w:hint="eastAsia" w:cs="宋体"/>
                <w:sz w:val="21"/>
                <w:szCs w:val="21"/>
              </w:rPr>
              <w:t>2.知识目标:了解客户关系管理基础理论、客户管理技巧等</w:t>
            </w:r>
          </w:p>
          <w:p>
            <w:pPr>
              <w:rPr>
                <w:rFonts w:cs="宋体"/>
                <w:sz w:val="21"/>
                <w:szCs w:val="21"/>
              </w:rPr>
            </w:pPr>
            <w:r>
              <w:rPr>
                <w:rFonts w:hint="eastAsia" w:cs="宋体"/>
                <w:sz w:val="21"/>
                <w:szCs w:val="21"/>
              </w:rPr>
              <w:t>3.能力目标:掌握目标客户的分析方法和客户管理管理理论,灵活运用售前沟通方法开展商品推荐活动,应用客户异议、客户投诉的技巧做好售后服务工作。</w:t>
            </w:r>
          </w:p>
        </w:tc>
        <w:tc>
          <w:tcPr>
            <w:tcW w:w="3544" w:type="dxa"/>
            <w:vAlign w:val="center"/>
          </w:tcPr>
          <w:p>
            <w:pPr>
              <w:rPr>
                <w:rFonts w:cs="宋体"/>
                <w:sz w:val="21"/>
                <w:szCs w:val="21"/>
              </w:rPr>
            </w:pPr>
            <w:r>
              <w:rPr>
                <w:rFonts w:hint="eastAsia" w:cs="宋体"/>
                <w:sz w:val="21"/>
                <w:szCs w:val="21"/>
              </w:rPr>
              <w:t>本课程主要学习客户关系管</w:t>
            </w:r>
          </w:p>
          <w:p>
            <w:pPr>
              <w:rPr>
                <w:rFonts w:cs="宋体"/>
                <w:sz w:val="21"/>
                <w:szCs w:val="21"/>
              </w:rPr>
            </w:pPr>
            <w:r>
              <w:rPr>
                <w:rFonts w:hint="eastAsia" w:cs="宋体"/>
                <w:sz w:val="21"/>
                <w:szCs w:val="21"/>
              </w:rPr>
              <w:t>理的定义与内涵优质客户服</w:t>
            </w:r>
          </w:p>
          <w:p>
            <w:pPr>
              <w:rPr>
                <w:rFonts w:cs="宋体"/>
                <w:sz w:val="21"/>
                <w:szCs w:val="21"/>
              </w:rPr>
            </w:pPr>
            <w:r>
              <w:rPr>
                <w:rFonts w:hint="eastAsia" w:cs="宋体"/>
                <w:sz w:val="21"/>
                <w:szCs w:val="21"/>
              </w:rPr>
              <w:t>务的重要意义、内涵及特点。</w:t>
            </w:r>
          </w:p>
          <w:p>
            <w:pPr>
              <w:rPr>
                <w:rFonts w:cs="宋体"/>
                <w:sz w:val="21"/>
                <w:szCs w:val="21"/>
              </w:rPr>
            </w:pPr>
            <w:r>
              <w:rPr>
                <w:rFonts w:hint="eastAsia" w:cs="宋体"/>
                <w:sz w:val="21"/>
                <w:szCs w:val="21"/>
              </w:rPr>
              <w:t>产品或服务的性能与特点分</w:t>
            </w:r>
          </w:p>
          <w:p>
            <w:pPr>
              <w:rPr>
                <w:rFonts w:cs="宋体"/>
                <w:sz w:val="21"/>
                <w:szCs w:val="21"/>
              </w:rPr>
            </w:pPr>
            <w:r>
              <w:rPr>
                <w:rFonts w:hint="eastAsia" w:cs="宋体"/>
                <w:sz w:val="21"/>
                <w:szCs w:val="21"/>
              </w:rPr>
              <w:t>析、产品或服务的特色与优势分析、行业发展动态及竞争对手分如何分析现有客户</w:t>
            </w:r>
          </w:p>
          <w:p>
            <w:pPr>
              <w:rPr>
                <w:rFonts w:cs="宋体"/>
                <w:sz w:val="21"/>
                <w:szCs w:val="21"/>
              </w:rPr>
            </w:pPr>
            <w:r>
              <w:rPr>
                <w:rFonts w:hint="eastAsia" w:cs="宋体"/>
                <w:sz w:val="21"/>
                <w:szCs w:val="21"/>
              </w:rPr>
              <w:t>整理客户资料:如何开展市场调查,发掘潜在客户。如何</w:t>
            </w:r>
          </w:p>
          <w:p>
            <w:pPr>
              <w:rPr>
                <w:rFonts w:cs="宋体"/>
                <w:sz w:val="21"/>
                <w:szCs w:val="21"/>
              </w:rPr>
            </w:pPr>
            <w:r>
              <w:rPr>
                <w:rFonts w:hint="eastAsia" w:cs="宋体"/>
                <w:sz w:val="21"/>
                <w:szCs w:val="21"/>
              </w:rPr>
              <w:t>利用网络渠道,开发目标客户:评估客户终生价值的方法。如何做好客户接待工作。几种常见沟通方式的特点及应用范围。客户异议的种类及异议处理技巧；客户投诉分析。客户忠诚度的含义及如何提高客户忠诚度</w:t>
            </w:r>
          </w:p>
        </w:tc>
        <w:tc>
          <w:tcPr>
            <w:tcW w:w="3827" w:type="dxa"/>
            <w:vAlign w:val="center"/>
          </w:tcPr>
          <w:p>
            <w:pPr>
              <w:rPr>
                <w:rFonts w:cs="宋体"/>
                <w:sz w:val="21"/>
                <w:szCs w:val="21"/>
              </w:rPr>
            </w:pPr>
            <w:r>
              <w:rPr>
                <w:rFonts w:hint="eastAsia" w:cs="宋体"/>
                <w:sz w:val="21"/>
                <w:szCs w:val="21"/>
              </w:rPr>
              <w:t>1.教师采用理论与实践相结合的教学组织,引导学生体验,感知优质客户服务的内涵,过角色扮演等,提升客服服务水平。帮助学生树立正确的观,能从客户角度出发,帮助客户挑选商品、处理售后。</w:t>
            </w:r>
          </w:p>
          <w:p>
            <w:pPr>
              <w:rPr>
                <w:rFonts w:cs="宋体"/>
                <w:sz w:val="21"/>
                <w:szCs w:val="21"/>
              </w:rPr>
            </w:pPr>
            <w:r>
              <w:rPr>
                <w:rFonts w:hint="eastAsia" w:cs="宋体"/>
                <w:sz w:val="21"/>
                <w:szCs w:val="21"/>
              </w:rPr>
              <w:t>2.采用案例分析法、岗位体验法明确客户关系管理的重要性,学会正确处理客户异议和客户投诉:通过数据分析,让学生掌握客户分类的依据及个性化管理的方法、策略。</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50" w:hRule="atLeast"/>
        </w:trPr>
        <w:tc>
          <w:tcPr>
            <w:tcW w:w="959" w:type="dxa"/>
            <w:vAlign w:val="center"/>
          </w:tcPr>
          <w:p>
            <w:pPr>
              <w:spacing w:before="114" w:beforeLines="30"/>
              <w:jc w:val="center"/>
              <w:rPr>
                <w:rFonts w:cs="宋体"/>
                <w:sz w:val="21"/>
                <w:szCs w:val="21"/>
              </w:rPr>
            </w:pPr>
            <w:r>
              <w:rPr>
                <w:rFonts w:hint="eastAsia" w:cs="宋体"/>
                <w:sz w:val="21"/>
                <w:szCs w:val="21"/>
              </w:rPr>
              <w:t>10</w:t>
            </w:r>
          </w:p>
        </w:tc>
        <w:tc>
          <w:tcPr>
            <w:tcW w:w="1843" w:type="dxa"/>
            <w:vAlign w:val="center"/>
          </w:tcPr>
          <w:p>
            <w:pPr>
              <w:jc w:val="center"/>
              <w:rPr>
                <w:rFonts w:cs="宋体"/>
                <w:sz w:val="21"/>
                <w:szCs w:val="21"/>
              </w:rPr>
            </w:pPr>
            <w:r>
              <w:rPr>
                <w:rFonts w:hint="eastAsia" w:cs="宋体"/>
                <w:sz w:val="21"/>
                <w:szCs w:val="21"/>
              </w:rPr>
              <w:t>软文写作</w:t>
            </w:r>
          </w:p>
        </w:tc>
        <w:tc>
          <w:tcPr>
            <w:tcW w:w="3827" w:type="dxa"/>
          </w:tcPr>
          <w:p>
            <w:pPr>
              <w:rPr>
                <w:rFonts w:cs="宋体"/>
                <w:sz w:val="21"/>
                <w:szCs w:val="21"/>
              </w:rPr>
            </w:pPr>
            <w:r>
              <w:rPr>
                <w:rFonts w:hint="eastAsia" w:cs="宋体"/>
                <w:sz w:val="21"/>
                <w:szCs w:val="21"/>
              </w:rPr>
              <w:t>1.素质目标:使学生具备良好的思想品德和文化素养,具有良好的职业道德,培养学生的创新思维。</w:t>
            </w:r>
          </w:p>
          <w:p>
            <w:pPr>
              <w:rPr>
                <w:rFonts w:cs="宋体"/>
                <w:sz w:val="21"/>
                <w:szCs w:val="21"/>
              </w:rPr>
            </w:pPr>
            <w:r>
              <w:rPr>
                <w:rFonts w:hint="eastAsia" w:cs="宋体"/>
                <w:sz w:val="21"/>
                <w:szCs w:val="21"/>
              </w:rPr>
              <w:t>2.知识目标:使学生了解互联网文案写作的基本流程,了解各类互联网文案的用途,掌握各类互联网文案的写作方法。</w:t>
            </w:r>
          </w:p>
          <w:p>
            <w:pPr>
              <w:rPr>
                <w:rFonts w:cs="宋体"/>
                <w:sz w:val="21"/>
                <w:szCs w:val="21"/>
              </w:rPr>
            </w:pPr>
            <w:r>
              <w:rPr>
                <w:rFonts w:hint="eastAsia" w:cs="宋体"/>
                <w:sz w:val="21"/>
                <w:szCs w:val="21"/>
              </w:rPr>
              <w:t>3.能力目标:提升学生商务文案写作的专业素质,使学生能够熟练掌握各类互联网文案的写作方法和技巧,培养学生的创新能力和综合能力。</w:t>
            </w:r>
          </w:p>
        </w:tc>
        <w:tc>
          <w:tcPr>
            <w:tcW w:w="3544" w:type="dxa"/>
          </w:tcPr>
          <w:p>
            <w:pPr>
              <w:rPr>
                <w:rFonts w:cs="宋体"/>
                <w:sz w:val="21"/>
                <w:szCs w:val="21"/>
              </w:rPr>
            </w:pPr>
            <w:r>
              <w:rPr>
                <w:rFonts w:hint="eastAsia" w:cs="宋体"/>
                <w:sz w:val="21"/>
                <w:szCs w:val="21"/>
              </w:rPr>
              <w:t>本课程主要从分析互联网文</w:t>
            </w:r>
          </w:p>
          <w:p>
            <w:pPr>
              <w:rPr>
                <w:rFonts w:cs="宋体"/>
                <w:sz w:val="21"/>
                <w:szCs w:val="21"/>
              </w:rPr>
            </w:pPr>
            <w:r>
              <w:rPr>
                <w:rFonts w:hint="eastAsia" w:cs="宋体"/>
                <w:sz w:val="21"/>
                <w:szCs w:val="21"/>
              </w:rPr>
              <w:t>案写作的现状和发展趋势出</w:t>
            </w:r>
          </w:p>
          <w:p>
            <w:pPr>
              <w:rPr>
                <w:rFonts w:cs="宋体"/>
                <w:sz w:val="21"/>
                <w:szCs w:val="21"/>
              </w:rPr>
            </w:pPr>
            <w:r>
              <w:rPr>
                <w:rFonts w:hint="eastAsia" w:cs="宋体"/>
                <w:sz w:val="21"/>
                <w:szCs w:val="21"/>
              </w:rPr>
              <w:t>发,结合案例,介绍了互联网</w:t>
            </w:r>
          </w:p>
          <w:p>
            <w:pPr>
              <w:rPr>
                <w:rFonts w:cs="宋体"/>
                <w:sz w:val="21"/>
                <w:szCs w:val="21"/>
              </w:rPr>
            </w:pPr>
            <w:r>
              <w:rPr>
                <w:rFonts w:hint="eastAsia" w:cs="宋体"/>
                <w:sz w:val="21"/>
                <w:szCs w:val="21"/>
              </w:rPr>
              <w:t>文案的创作思路、创意技巧、</w:t>
            </w:r>
          </w:p>
          <w:p>
            <w:pPr>
              <w:rPr>
                <w:rFonts w:cs="宋体"/>
                <w:sz w:val="21"/>
                <w:szCs w:val="21"/>
              </w:rPr>
            </w:pPr>
            <w:r>
              <w:rPr>
                <w:rFonts w:hint="eastAsia" w:cs="宋体"/>
                <w:sz w:val="21"/>
                <w:szCs w:val="21"/>
              </w:rPr>
              <w:t>内容与形式,并分别从产品文案、品牌文案、新媒体文案和推广活动文案等方面详细剖析了写好互联网文案的策略与技巧,使学生详细了解互联网文案的写作思路,能够独立撰写互联网文案</w:t>
            </w:r>
          </w:p>
        </w:tc>
        <w:tc>
          <w:tcPr>
            <w:tcW w:w="3827" w:type="dxa"/>
          </w:tcPr>
          <w:p>
            <w:pPr>
              <w:rPr>
                <w:rFonts w:cs="宋体"/>
                <w:sz w:val="21"/>
                <w:szCs w:val="21"/>
              </w:rPr>
            </w:pPr>
            <w:r>
              <w:rPr>
                <w:rFonts w:hint="eastAsia" w:cs="宋体"/>
                <w:sz w:val="21"/>
                <w:szCs w:val="21"/>
              </w:rPr>
              <w:t>1.教师讲解各类型文案的写作方法,以学生实训为主,在训练中培养学生的互联网创新思维,为今后从事网站、网店运营推广工作和自媒体相关工作打下基础。</w:t>
            </w:r>
          </w:p>
          <w:p>
            <w:pPr>
              <w:rPr>
                <w:rFonts w:cs="宋体"/>
                <w:sz w:val="21"/>
                <w:szCs w:val="21"/>
              </w:rPr>
            </w:pPr>
            <w:r>
              <w:rPr>
                <w:rFonts w:hint="eastAsia" w:cs="宋体"/>
                <w:sz w:val="21"/>
                <w:szCs w:val="21"/>
              </w:rPr>
              <w:t>2.本课程采采用讲授法、讨论法、案例分析法等教学方法,培养学生的文案写作策略和技巧。</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3" w:hRule="atLeast"/>
        </w:trPr>
        <w:tc>
          <w:tcPr>
            <w:tcW w:w="959" w:type="dxa"/>
            <w:vAlign w:val="center"/>
          </w:tcPr>
          <w:p>
            <w:pPr>
              <w:spacing w:before="114" w:beforeLines="30"/>
              <w:jc w:val="center"/>
              <w:rPr>
                <w:rFonts w:cs="宋体"/>
                <w:sz w:val="21"/>
                <w:szCs w:val="21"/>
              </w:rPr>
            </w:pPr>
            <w:r>
              <w:rPr>
                <w:rFonts w:hint="eastAsia" w:cs="宋体"/>
                <w:sz w:val="21"/>
                <w:szCs w:val="21"/>
              </w:rPr>
              <w:t>11</w:t>
            </w:r>
          </w:p>
        </w:tc>
        <w:tc>
          <w:tcPr>
            <w:tcW w:w="1843" w:type="dxa"/>
            <w:vAlign w:val="center"/>
          </w:tcPr>
          <w:p>
            <w:pPr>
              <w:jc w:val="center"/>
              <w:rPr>
                <w:rFonts w:cs="宋体"/>
                <w:sz w:val="21"/>
                <w:szCs w:val="21"/>
              </w:rPr>
            </w:pPr>
            <w:r>
              <w:rPr>
                <w:rFonts w:hint="eastAsia" w:cs="宋体"/>
                <w:sz w:val="21"/>
                <w:szCs w:val="21"/>
              </w:rPr>
              <w:t>电子商务法律法规</w:t>
            </w:r>
          </w:p>
        </w:tc>
        <w:tc>
          <w:tcPr>
            <w:tcW w:w="3827" w:type="dxa"/>
          </w:tcPr>
          <w:p>
            <w:pPr>
              <w:rPr>
                <w:rFonts w:cs="宋体"/>
                <w:sz w:val="21"/>
                <w:szCs w:val="21"/>
              </w:rPr>
            </w:pPr>
            <w:r>
              <w:rPr>
                <w:rFonts w:hint="eastAsia" w:cs="宋体"/>
                <w:sz w:val="21"/>
                <w:szCs w:val="21"/>
              </w:rPr>
              <w:t>1.素质目标:培养学生的法律意识在商务活动中自觉遵守法律法规,践行社会主义核心价值观。</w:t>
            </w:r>
          </w:p>
          <w:p>
            <w:pPr>
              <w:rPr>
                <w:rFonts w:cs="宋体"/>
                <w:sz w:val="21"/>
                <w:szCs w:val="21"/>
              </w:rPr>
            </w:pPr>
            <w:r>
              <w:rPr>
                <w:rFonts w:hint="eastAsia" w:cs="宋体"/>
                <w:sz w:val="21"/>
                <w:szCs w:val="21"/>
              </w:rPr>
              <w:t>2.知识目标:了解电子商务法的基本概念和内涵;明确电子商务活动主体的权利与义务:掌握电子商务合同的实施要领:掌握电子商务过程中的法律法规等。</w:t>
            </w:r>
          </w:p>
          <w:p>
            <w:pPr>
              <w:rPr>
                <w:rFonts w:cs="宋体"/>
                <w:sz w:val="21"/>
                <w:szCs w:val="21"/>
              </w:rPr>
            </w:pPr>
            <w:r>
              <w:rPr>
                <w:rFonts w:hint="eastAsia" w:cs="宋体"/>
                <w:sz w:val="21"/>
                <w:szCs w:val="21"/>
              </w:rPr>
              <w:t>3.能力目标:能基本看懂电子商务合同涉及的法律知识,具备知识产权保护意识。</w:t>
            </w:r>
          </w:p>
        </w:tc>
        <w:tc>
          <w:tcPr>
            <w:tcW w:w="3544" w:type="dxa"/>
          </w:tcPr>
          <w:p>
            <w:pPr>
              <w:rPr>
                <w:rFonts w:cs="宋体"/>
                <w:sz w:val="21"/>
                <w:szCs w:val="21"/>
              </w:rPr>
            </w:pPr>
            <w:r>
              <w:rPr>
                <w:rFonts w:hint="eastAsia" w:cs="宋体"/>
                <w:sz w:val="21"/>
                <w:szCs w:val="21"/>
              </w:rPr>
              <w:t>本课程主要学习内容包括电子商务法概述、电子商务经营主体、电子签名与电子认证、电子商务交易与服务、电子商务交易保障、跨境电子商务等法律制度、电子商务法律责任</w:t>
            </w:r>
          </w:p>
        </w:tc>
        <w:tc>
          <w:tcPr>
            <w:tcW w:w="3827" w:type="dxa"/>
          </w:tcPr>
          <w:p>
            <w:pPr>
              <w:rPr>
                <w:rFonts w:cs="宋体"/>
                <w:sz w:val="21"/>
                <w:szCs w:val="21"/>
              </w:rPr>
            </w:pPr>
            <w:r>
              <w:rPr>
                <w:rFonts w:hint="eastAsia" w:cs="宋体"/>
                <w:sz w:val="21"/>
                <w:szCs w:val="21"/>
              </w:rPr>
              <w:t>1.教师应围绕电子商务人才培养目标,适应网络经济时代的要求,选取电子商务领域最新的法律法规和经典案例教学内容,不断激励勤奋钻研,诚实守信,既不触碰法律法规底线,也懂得用法律保护自身权益,共同维护公和谐的交易环境。</w:t>
            </w:r>
          </w:p>
          <w:p>
            <w:pPr>
              <w:rPr>
                <w:rFonts w:cs="宋体"/>
                <w:sz w:val="21"/>
                <w:szCs w:val="21"/>
              </w:rPr>
            </w:pPr>
            <w:r>
              <w:rPr>
                <w:rFonts w:hint="eastAsia" w:cs="宋体"/>
                <w:sz w:val="21"/>
                <w:szCs w:val="21"/>
              </w:rPr>
              <w:t>2.主要采取案例分析法、项目教学法对电子商务活动过程中应遵循的法律规范进行解析,帮助学生树立法律意识</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spacing w:before="114" w:beforeLines="30"/>
              <w:jc w:val="center"/>
              <w:rPr>
                <w:rFonts w:cs="宋体"/>
                <w:sz w:val="21"/>
                <w:szCs w:val="21"/>
              </w:rPr>
            </w:pPr>
            <w:r>
              <w:rPr>
                <w:rFonts w:hint="eastAsia" w:cs="宋体"/>
                <w:sz w:val="21"/>
                <w:szCs w:val="21"/>
              </w:rPr>
              <w:t>12</w:t>
            </w:r>
          </w:p>
        </w:tc>
        <w:tc>
          <w:tcPr>
            <w:tcW w:w="1843" w:type="dxa"/>
            <w:vAlign w:val="center"/>
          </w:tcPr>
          <w:p>
            <w:pPr>
              <w:jc w:val="center"/>
              <w:rPr>
                <w:rFonts w:cs="宋体"/>
                <w:sz w:val="21"/>
                <w:szCs w:val="21"/>
              </w:rPr>
            </w:pPr>
            <w:r>
              <w:rPr>
                <w:rFonts w:hint="eastAsia" w:cs="宋体"/>
                <w:sz w:val="21"/>
                <w:szCs w:val="21"/>
              </w:rPr>
              <w:t>SEO搜索引擎优化</w:t>
            </w:r>
          </w:p>
        </w:tc>
        <w:tc>
          <w:tcPr>
            <w:tcW w:w="3827" w:type="dxa"/>
          </w:tcPr>
          <w:p>
            <w:pPr>
              <w:rPr>
                <w:rFonts w:cs="宋体"/>
                <w:sz w:val="21"/>
                <w:szCs w:val="21"/>
              </w:rPr>
            </w:pPr>
            <w:r>
              <w:rPr>
                <w:rFonts w:hint="eastAsia" w:cs="宋体"/>
                <w:sz w:val="21"/>
                <w:szCs w:val="21"/>
              </w:rPr>
              <w:t>1.素质目标：帮助学生建立良好的分 析框架,能在方法论层面占据一定的制高点。</w:t>
            </w:r>
          </w:p>
          <w:p>
            <w:pPr>
              <w:rPr>
                <w:rFonts w:cs="宋体"/>
                <w:sz w:val="21"/>
                <w:szCs w:val="21"/>
              </w:rPr>
            </w:pPr>
            <w:r>
              <w:rPr>
                <w:rFonts w:hint="eastAsia" w:cs="宋体"/>
                <w:sz w:val="21"/>
                <w:szCs w:val="21"/>
              </w:rPr>
              <w:t>2.知识目标:通过课程的学习,要求学生不仅仅只是掌握关于SEO相关知识、概念、定义和原理。</w:t>
            </w:r>
          </w:p>
          <w:p>
            <w:pPr>
              <w:rPr>
                <w:rFonts w:cs="宋体"/>
                <w:sz w:val="21"/>
                <w:szCs w:val="21"/>
              </w:rPr>
            </w:pPr>
            <w:r>
              <w:rPr>
                <w:rFonts w:hint="eastAsia" w:cs="宋体"/>
                <w:sz w:val="21"/>
                <w:szCs w:val="21"/>
              </w:rPr>
              <w:t>3.技能目标:综合运用所学知识、技能,对具体企业提出SEO系统解决方案。</w:t>
            </w:r>
          </w:p>
        </w:tc>
        <w:tc>
          <w:tcPr>
            <w:tcW w:w="3544" w:type="dxa"/>
          </w:tcPr>
          <w:p>
            <w:pPr>
              <w:rPr>
                <w:rFonts w:cs="宋体"/>
                <w:sz w:val="21"/>
                <w:szCs w:val="21"/>
              </w:rPr>
            </w:pPr>
            <w:r>
              <w:rPr>
                <w:rFonts w:hint="eastAsia" w:cs="宋体"/>
                <w:sz w:val="21"/>
                <w:szCs w:val="21"/>
              </w:rPr>
              <w:t>本课程主要内容包括：将公司网址提交到搜索引擎,检查收录情况,搜索引擎收录基本情况调查,SE搜索引擎优化,关键词的设计,数据分析和推广优化。微博推广,微信推广等。</w:t>
            </w:r>
          </w:p>
        </w:tc>
        <w:tc>
          <w:tcPr>
            <w:tcW w:w="3827" w:type="dxa"/>
          </w:tcPr>
          <w:p>
            <w:pPr>
              <w:rPr>
                <w:rFonts w:cs="宋体"/>
                <w:sz w:val="21"/>
                <w:szCs w:val="21"/>
              </w:rPr>
            </w:pPr>
            <w:r>
              <w:rPr>
                <w:rFonts w:hint="eastAsia" w:cs="宋体"/>
                <w:sz w:val="21"/>
                <w:szCs w:val="21"/>
              </w:rPr>
              <w:t>1.教师组织学生综合运用SEO技巧:设计在线题库,运用教学软件,增强在线课堂师生互动。帮助学生树立正确法治观念,培养良好的职业道德意识,了解掌握搜索引擎营销领域的法律法规和相关政策,树立正确的价值观,培养诚信敬业、德法兼修的职业素养。</w:t>
            </w:r>
          </w:p>
          <w:p>
            <w:pPr>
              <w:rPr>
                <w:rFonts w:cs="宋体"/>
                <w:sz w:val="21"/>
                <w:szCs w:val="21"/>
              </w:rPr>
            </w:pPr>
            <w:r>
              <w:rPr>
                <w:rFonts w:hint="eastAsia" w:cs="宋体"/>
                <w:sz w:val="21"/>
                <w:szCs w:val="21"/>
              </w:rPr>
              <w:t>2.采用任务驱动、案例分析、项目教学等方法。采用线上SPOC及慕课平台及线下实训机房翻转课堂的混合式教学。综合运用网络平台习题测验、讨论、课程资料、题库等资源。</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spacing w:before="114" w:beforeLines="30"/>
              <w:jc w:val="center"/>
              <w:rPr>
                <w:rFonts w:cs="宋体"/>
                <w:sz w:val="21"/>
                <w:szCs w:val="21"/>
              </w:rPr>
            </w:pPr>
            <w:r>
              <w:rPr>
                <w:rFonts w:hint="eastAsia" w:cs="宋体"/>
                <w:sz w:val="21"/>
                <w:szCs w:val="21"/>
              </w:rPr>
              <w:t>13</w:t>
            </w:r>
          </w:p>
        </w:tc>
        <w:tc>
          <w:tcPr>
            <w:tcW w:w="1843" w:type="dxa"/>
            <w:vAlign w:val="center"/>
          </w:tcPr>
          <w:p>
            <w:pPr>
              <w:jc w:val="center"/>
              <w:rPr>
                <w:rFonts w:cs="宋体"/>
                <w:sz w:val="21"/>
                <w:szCs w:val="21"/>
              </w:rPr>
            </w:pPr>
            <w:r>
              <w:rPr>
                <w:rFonts w:hint="eastAsia" w:cs="宋体"/>
                <w:sz w:val="21"/>
                <w:szCs w:val="21"/>
              </w:rPr>
              <w:t>消费者行为分析</w:t>
            </w:r>
          </w:p>
        </w:tc>
        <w:tc>
          <w:tcPr>
            <w:tcW w:w="3827" w:type="dxa"/>
          </w:tcPr>
          <w:p>
            <w:pPr>
              <w:widowControl/>
              <w:rPr>
                <w:rFonts w:cs="宋体"/>
                <w:sz w:val="21"/>
                <w:szCs w:val="21"/>
              </w:rPr>
            </w:pPr>
            <w:r>
              <w:rPr>
                <w:rFonts w:hint="eastAsia" w:cs="宋体"/>
                <w:sz w:val="21"/>
                <w:szCs w:val="21"/>
              </w:rPr>
              <w:t>1.素质目标:引导学生牢固树立社会主义核心价值观,帮助学生树立正确的人生观、世界观和价值观,能为消费者提供个性化的产品与服务选择:培养学生诚信经营、团结友善,能够营造良好的营销环境。</w:t>
            </w:r>
          </w:p>
          <w:p>
            <w:pPr>
              <w:widowControl/>
              <w:rPr>
                <w:rFonts w:cs="宋体"/>
                <w:sz w:val="21"/>
                <w:szCs w:val="21"/>
              </w:rPr>
            </w:pPr>
            <w:r>
              <w:rPr>
                <w:rFonts w:hint="eastAsia" w:cs="宋体"/>
                <w:sz w:val="21"/>
                <w:szCs w:val="21"/>
              </w:rPr>
              <w:t>2.知识目标:了解影响消费者行为的心理因素、个体特征、群体特征:握分析影响消费者行为的方法:掌握影响消费者行为的营销组合策略。</w:t>
            </w:r>
          </w:p>
          <w:p>
            <w:pPr>
              <w:widowControl/>
              <w:rPr>
                <w:rFonts w:cs="宋体"/>
                <w:sz w:val="21"/>
                <w:szCs w:val="21"/>
              </w:rPr>
            </w:pPr>
            <w:r>
              <w:rPr>
                <w:rFonts w:hint="eastAsia" w:cs="宋体"/>
                <w:sz w:val="21"/>
                <w:szCs w:val="21"/>
              </w:rPr>
              <w:t>3.能力目标:能根据影响消费者行为的心理因素、个体特征、群体特征制定和完善相应的广告发布、商城选择、商品陈列、商品包装等方案。</w:t>
            </w:r>
          </w:p>
        </w:tc>
        <w:tc>
          <w:tcPr>
            <w:tcW w:w="3544" w:type="dxa"/>
            <w:vAlign w:val="center"/>
          </w:tcPr>
          <w:p>
            <w:pPr>
              <w:rPr>
                <w:rFonts w:cs="宋体"/>
                <w:sz w:val="21"/>
                <w:szCs w:val="21"/>
              </w:rPr>
            </w:pPr>
            <w:r>
              <w:rPr>
                <w:rFonts w:hint="eastAsia" w:cs="宋体"/>
                <w:sz w:val="21"/>
                <w:szCs w:val="21"/>
              </w:rPr>
              <w:t>本课程主要融入与消费者行为相关的前沿研究与营销实践,介绍在中国文化背景下,符合社会持续发展的消费者心理与行为。内容主要涵盖:消费者行为的基本认知:消费者购买决策:消费者的心理活动过程:消费者行为的个体特征:消费者群体特征;消费者行为的外部影响因素;营销组合策略:消费者评价</w:t>
            </w:r>
          </w:p>
        </w:tc>
        <w:tc>
          <w:tcPr>
            <w:tcW w:w="3827" w:type="dxa"/>
          </w:tcPr>
          <w:p>
            <w:pPr>
              <w:rPr>
                <w:rFonts w:cs="宋体"/>
                <w:sz w:val="21"/>
                <w:szCs w:val="21"/>
              </w:rPr>
            </w:pPr>
            <w:r>
              <w:rPr>
                <w:rFonts w:hint="eastAsia" w:cs="宋体"/>
                <w:sz w:val="21"/>
                <w:szCs w:val="21"/>
              </w:rPr>
              <w:t>1.教师引导学生进行情境训练,在学中练、练中学的过程中不断提高实操能力。通过课程思政,践行社会主义核心价值观,做好爱岗敬业,服务客户。</w:t>
            </w:r>
          </w:p>
          <w:p>
            <w:pPr>
              <w:rPr>
                <w:rFonts w:cs="宋体"/>
                <w:sz w:val="21"/>
                <w:szCs w:val="21"/>
              </w:rPr>
            </w:pPr>
            <w:r>
              <w:rPr>
                <w:rFonts w:hint="eastAsia" w:cs="宋体"/>
                <w:sz w:val="21"/>
                <w:szCs w:val="21"/>
              </w:rPr>
              <w:t>2.主要采用“讲授+启发”的教学方式,精讲题库后,学生充分进行实操与题目练习,提升训练效果。</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jc w:val="center"/>
              <w:rPr>
                <w:rFonts w:cs="宋体"/>
                <w:sz w:val="21"/>
                <w:szCs w:val="21"/>
              </w:rPr>
            </w:pPr>
            <w:r>
              <w:rPr>
                <w:rFonts w:hint="eastAsia" w:cs="宋体"/>
                <w:sz w:val="21"/>
                <w:szCs w:val="21"/>
              </w:rPr>
              <w:t>14</w:t>
            </w:r>
          </w:p>
        </w:tc>
        <w:tc>
          <w:tcPr>
            <w:tcW w:w="1843" w:type="dxa"/>
            <w:vAlign w:val="center"/>
          </w:tcPr>
          <w:p>
            <w:pPr>
              <w:jc w:val="center"/>
              <w:rPr>
                <w:rFonts w:cs="宋体"/>
                <w:sz w:val="21"/>
                <w:szCs w:val="21"/>
              </w:rPr>
            </w:pPr>
            <w:r>
              <w:rPr>
                <w:rFonts w:hint="eastAsia" w:cs="宋体"/>
                <w:sz w:val="21"/>
                <w:szCs w:val="21"/>
              </w:rPr>
              <w:t>网站运营和管理</w:t>
            </w:r>
          </w:p>
        </w:tc>
        <w:tc>
          <w:tcPr>
            <w:tcW w:w="3827" w:type="dxa"/>
            <w:vAlign w:val="center"/>
          </w:tcPr>
          <w:p>
            <w:pPr>
              <w:rPr>
                <w:rFonts w:cs="宋体"/>
                <w:sz w:val="21"/>
                <w:szCs w:val="21"/>
              </w:rPr>
            </w:pPr>
            <w:r>
              <w:rPr>
                <w:rFonts w:hint="eastAsia" w:cs="宋体"/>
                <w:sz w:val="21"/>
                <w:szCs w:val="21"/>
              </w:rPr>
              <w:t>1.素质目标:能理解网店推广计划相关知识点,以及熟知网店优化、网店营销推广、评估运营效果相关操作。</w:t>
            </w:r>
          </w:p>
          <w:p>
            <w:pPr>
              <w:rPr>
                <w:rFonts w:cs="宋体"/>
                <w:sz w:val="21"/>
                <w:szCs w:val="21"/>
              </w:rPr>
            </w:pPr>
            <w:r>
              <w:rPr>
                <w:rFonts w:hint="eastAsia" w:cs="宋体"/>
                <w:sz w:val="21"/>
                <w:szCs w:val="21"/>
              </w:rPr>
              <w:t>2.知识目标:掌握市场调研和实施步骤及做法,以及掌握引流的相关概念,和理解数据指标的含义。</w:t>
            </w:r>
          </w:p>
          <w:p>
            <w:pPr>
              <w:rPr>
                <w:rFonts w:cs="宋体"/>
                <w:sz w:val="21"/>
                <w:szCs w:val="21"/>
              </w:rPr>
            </w:pPr>
            <w:r>
              <w:rPr>
                <w:rFonts w:hint="eastAsia" w:cs="宋体"/>
                <w:sz w:val="21"/>
                <w:szCs w:val="21"/>
              </w:rPr>
              <w:t>3.能力目标:熟练掌握写市场分析报告等基础操作,会优化网店宝贝、付费推广和使用评估工具等运营操作。</w:t>
            </w:r>
          </w:p>
        </w:tc>
        <w:tc>
          <w:tcPr>
            <w:tcW w:w="3544" w:type="dxa"/>
            <w:vAlign w:val="center"/>
          </w:tcPr>
          <w:p>
            <w:pPr>
              <w:rPr>
                <w:rFonts w:cs="宋体"/>
                <w:sz w:val="21"/>
                <w:szCs w:val="21"/>
              </w:rPr>
            </w:pPr>
            <w:r>
              <w:rPr>
                <w:rFonts w:hint="eastAsia" w:cs="宋体"/>
                <w:sz w:val="21"/>
                <w:szCs w:val="21"/>
              </w:rPr>
              <w:t>本课程具体内容有:学习网店推广市场分析、网店推广计划编制:握网店优化、店内促销手段:学习如何网店活内铺推站内营销手段、站外营销推广手段。了解网络营销推广手段。掌握手机无线推广应用网店运营评估工具和对网店运营效果的评估。</w:t>
            </w:r>
          </w:p>
        </w:tc>
        <w:tc>
          <w:tcPr>
            <w:tcW w:w="3827" w:type="dxa"/>
            <w:vAlign w:val="center"/>
          </w:tcPr>
          <w:p>
            <w:pPr>
              <w:rPr>
                <w:rFonts w:cs="宋体"/>
                <w:sz w:val="21"/>
                <w:szCs w:val="21"/>
              </w:rPr>
            </w:pPr>
            <w:r>
              <w:rPr>
                <w:rFonts w:hint="eastAsia" w:cs="宋体"/>
                <w:sz w:val="21"/>
                <w:szCs w:val="21"/>
              </w:rPr>
              <w:t>1.教师结合岗位技能需要,以面授教学为主,结合网络空间辅助教学,将工匠精神融入理论学习和和技能训练中去,培养学生的责任心和使命感。</w:t>
            </w:r>
          </w:p>
          <w:p>
            <w:pPr>
              <w:rPr>
                <w:rFonts w:cs="宋体"/>
                <w:sz w:val="21"/>
                <w:szCs w:val="21"/>
              </w:rPr>
            </w:pPr>
            <w:r>
              <w:rPr>
                <w:rFonts w:hint="eastAsia" w:cs="宋体"/>
                <w:sz w:val="21"/>
                <w:szCs w:val="21"/>
              </w:rPr>
              <w:t>2.教学方法以案例教学、小组讨论、项目驱动为主,讲授法为辅:广泛运用天猫、淘宝网、阿里巴巴、淘宝联盟等网站资源助教学</w:t>
            </w:r>
          </w:p>
          <w:p>
            <w:pPr>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jc w:val="center"/>
              <w:rPr>
                <w:rFonts w:cs="宋体"/>
                <w:sz w:val="21"/>
                <w:szCs w:val="21"/>
              </w:rPr>
            </w:pPr>
            <w:r>
              <w:rPr>
                <w:rFonts w:hint="eastAsia" w:cs="宋体"/>
                <w:sz w:val="21"/>
                <w:szCs w:val="21"/>
              </w:rPr>
              <w:t>15</w:t>
            </w:r>
          </w:p>
        </w:tc>
        <w:tc>
          <w:tcPr>
            <w:tcW w:w="1843" w:type="dxa"/>
            <w:vAlign w:val="center"/>
          </w:tcPr>
          <w:p>
            <w:pPr>
              <w:jc w:val="center"/>
              <w:rPr>
                <w:rFonts w:hint="eastAsia" w:cs="宋体"/>
                <w:sz w:val="21"/>
                <w:szCs w:val="21"/>
              </w:rPr>
            </w:pPr>
            <w:r>
              <w:rPr>
                <w:rFonts w:hint="eastAsia" w:cs="宋体"/>
                <w:sz w:val="21"/>
                <w:szCs w:val="21"/>
              </w:rPr>
              <w:t>电子商务案例</w:t>
            </w:r>
          </w:p>
          <w:p>
            <w:pPr>
              <w:jc w:val="center"/>
              <w:rPr>
                <w:rFonts w:cs="宋体"/>
                <w:sz w:val="21"/>
                <w:szCs w:val="21"/>
              </w:rPr>
            </w:pPr>
            <w:r>
              <w:rPr>
                <w:rFonts w:hint="eastAsia" w:cs="宋体"/>
                <w:sz w:val="21"/>
                <w:szCs w:val="21"/>
              </w:rPr>
              <w:t>分析</w:t>
            </w:r>
          </w:p>
        </w:tc>
        <w:tc>
          <w:tcPr>
            <w:tcW w:w="3827" w:type="dxa"/>
            <w:vAlign w:val="center"/>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1.素质目标:使学生树立电子商务职业观、学习观、认知观,具有良好的合作意识和协调组织能力</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2.知识目标:使学生了解当代主流电子商务案例类型,掌握各类型电商案例的分析方法,了解电商企业面临的</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新挑战,为今后从事电子商务行业领域工作打下基础</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3.能力目标:提高学生分析问题和解决问题的能力,通过分析典型案例,能够找出不同电商企业运营的利弊,并产生创新思维。训练和培养学生获取信息和处理信息的能力,充分培养和提高学生的动手能力,学会通过网站、书籍、素材光盘等方式收集所需资料。</w:t>
            </w:r>
          </w:p>
        </w:tc>
        <w:tc>
          <w:tcPr>
            <w:tcW w:w="3544"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本课程主要以电子商务的应</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用领域为线索,介绍电子商务在各领域的一些实际案例,使学生对各行业的电子商务的发展有一个完整的了解。主要选取目前热门的B2C、020、跨境、新媒体营销模式中的典型案例,从不同角度、不同层次去进行分析,使学生能够对电子商务产生更为实际的感性认识,能对电子商务的发展有一个完整的了解,能借鉴电子商务应用的成功经验并运用到实际工作中去,为将来从事电子商务相关工作打下</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坚实的基础</w:t>
            </w:r>
          </w:p>
        </w:tc>
        <w:tc>
          <w:tcPr>
            <w:tcW w:w="3827"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1.教师讲解主流电子商务案例,老师先精讲,再让学生以小组为单位分析同类案例,并完成汇报,以实践为主,训练学生独立获取信息、处理信息的能力,并通过团队合作的方式完成案例分析报告,为企业解决实际问题提供支持。根据不同的案例类型加入思政元素,主要培养学生的职业道德,了解电商法律法规,树立正确的职业道德观念</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2.本课程采用综合分析法、统计分析法、SWOT分析法等案例分析方法,帮助学生掌握电子商务案例分析的基本专业知识,熟悉电子商务企业的运营方式</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3.课程采用过程性考核与终结性考核相结合的考评方法,其中过程性考核占50%,终结性考核占50%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59" w:type="dxa"/>
            <w:vAlign w:val="center"/>
          </w:tcPr>
          <w:p>
            <w:pPr>
              <w:jc w:val="center"/>
              <w:rPr>
                <w:rFonts w:cs="宋体"/>
                <w:sz w:val="21"/>
                <w:szCs w:val="21"/>
              </w:rPr>
            </w:pPr>
            <w:r>
              <w:rPr>
                <w:rFonts w:hint="eastAsia" w:cs="宋体"/>
                <w:sz w:val="21"/>
                <w:szCs w:val="21"/>
              </w:rPr>
              <w:t>16</w:t>
            </w:r>
          </w:p>
        </w:tc>
        <w:tc>
          <w:tcPr>
            <w:tcW w:w="1843" w:type="dxa"/>
            <w:vAlign w:val="center"/>
          </w:tcPr>
          <w:p>
            <w:pPr>
              <w:jc w:val="center"/>
              <w:rPr>
                <w:rFonts w:cs="宋体"/>
                <w:sz w:val="21"/>
                <w:szCs w:val="21"/>
              </w:rPr>
            </w:pPr>
            <w:r>
              <w:rPr>
                <w:rFonts w:hint="eastAsia" w:cs="宋体"/>
                <w:sz w:val="21"/>
                <w:szCs w:val="21"/>
              </w:rPr>
              <w:t>顶岗实习</w:t>
            </w:r>
          </w:p>
        </w:tc>
        <w:tc>
          <w:tcPr>
            <w:tcW w:w="3827"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1.素质目标:养成爱岗敬业、精益求精、诚实守信的职业精神,增强学生的创新创业能力</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2.知识目标:了解企业的运作、组织结构、规则制度与企业文化</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3.能力目标:掌握电子商务岗位的典型工作流程、工作内容及核心技能。</w:t>
            </w:r>
          </w:p>
        </w:tc>
        <w:tc>
          <w:tcPr>
            <w:tcW w:w="3544"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本课程为重要的实践课程,学生在企业工作岗位进行顶岗实习,需要遵守公司制度,认同企业文化,按时完成相应工作任务:及时总结工作中的得失:虚心向同事请教,与同事关系融治:主动学习工作技能技巧:每天进行蘑菇丁签到、每周写周记,顶岗实习结束后,进行系统总结</w:t>
            </w:r>
          </w:p>
        </w:tc>
        <w:tc>
          <w:tcPr>
            <w:tcW w:w="3827" w:type="dxa"/>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1.在企业导师指导下完成顶岗实习工作岗位任务,并在完成蘑菇丁签到、写实习周记和实习总结等工作。鼓励学生学习发扬工匠精神,培养吃苦耐劳、踏实工作的习惯。</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2.采用项目教学法指导学生完成工作中各项具体任务。</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3.本课程采取过程性考核,占</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cs="宋体"/>
                <w:sz w:val="21"/>
                <w:szCs w:val="21"/>
              </w:rPr>
            </w:pPr>
            <w:r>
              <w:rPr>
                <w:rFonts w:hint="eastAsia" w:cs="宋体"/>
                <w:sz w:val="21"/>
                <w:szCs w:val="21"/>
              </w:rPr>
              <w:t>比为100%</w:t>
            </w:r>
          </w:p>
        </w:tc>
      </w:tr>
    </w:tbl>
    <w:p>
      <w:pPr>
        <w:pStyle w:val="13"/>
        <w:tabs>
          <w:tab w:val="center" w:pos="4153"/>
        </w:tabs>
        <w:spacing w:before="0" w:after="0" w:line="600" w:lineRule="exact"/>
        <w:jc w:val="left"/>
        <w:outlineLvl w:val="1"/>
        <w:rPr>
          <w:rFonts w:ascii="仿宋" w:hAnsi="仿宋" w:eastAsia="仿宋" w:cs="仿宋_GB2312"/>
          <w:b w:val="0"/>
          <w:spacing w:val="-2"/>
        </w:rPr>
        <w:sectPr>
          <w:pgSz w:w="16838" w:h="11906" w:orient="landscape"/>
          <w:pgMar w:top="1797" w:right="1440" w:bottom="1797" w:left="1440" w:header="851" w:footer="1559" w:gutter="0"/>
          <w:cols w:space="720" w:num="1"/>
          <w:docGrid w:type="lines" w:linePitch="381" w:charSpace="0"/>
        </w:sectPr>
      </w:pPr>
    </w:p>
    <w:p>
      <w:pPr>
        <w:pStyle w:val="13"/>
        <w:tabs>
          <w:tab w:val="center" w:pos="4153"/>
        </w:tabs>
        <w:spacing w:before="0" w:after="0" w:line="600" w:lineRule="exact"/>
        <w:jc w:val="left"/>
        <w:outlineLvl w:val="1"/>
        <w:rPr>
          <w:rFonts w:ascii="宋体" w:hAnsi="宋体" w:cs="宋体"/>
          <w:b w:val="0"/>
          <w:bCs w:val="0"/>
          <w:sz w:val="28"/>
          <w:szCs w:val="28"/>
        </w:rPr>
      </w:pPr>
      <w:bookmarkStart w:id="18" w:name="_Toc76052131"/>
      <w:r>
        <w:rPr>
          <w:rFonts w:hint="eastAsia" w:ascii="宋体" w:hAnsi="宋体" w:cs="宋体"/>
          <w:b w:val="0"/>
          <w:spacing w:val="-2"/>
          <w:sz w:val="28"/>
          <w:szCs w:val="28"/>
        </w:rPr>
        <w:t>（三）实践教学体系设计</w:t>
      </w:r>
      <w:bookmarkEnd w:id="18"/>
    </w:p>
    <w:p>
      <w:pPr>
        <w:spacing w:before="190" w:beforeLines="50"/>
        <w:ind w:firstLine="560" w:firstLineChars="200"/>
        <w:jc w:val="left"/>
        <w:rPr>
          <w:rFonts w:cs="宋体"/>
          <w:szCs w:val="28"/>
        </w:rPr>
      </w:pPr>
      <w:r>
        <w:rPr>
          <w:rFonts w:hint="eastAsia" w:cs="宋体"/>
          <w:szCs w:val="28"/>
        </w:rPr>
        <w:t>根据人才培养目标的要求，结合社会发展需求和地方经济发展需要，构建了“四层次”(基础实践、综合实践、专业实践和创新实践)、“多形式”（课程实训、认知实习、集中实训、顶岗实习、毕业设计（论文）、社会实践、课外科技创新活动等）的实践教学体系。其中顶岗实习已达到了教育部颁发的的要求。</w:t>
      </w:r>
    </w:p>
    <w:tbl>
      <w:tblPr>
        <w:tblStyle w:val="1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6"/>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59" w:type="dxa"/>
            <w:shd w:val="clear" w:color="auto" w:fill="D8D8D8" w:themeFill="background1" w:themeFillShade="D9"/>
          </w:tcPr>
          <w:p>
            <w:pPr>
              <w:spacing w:before="156" w:after="156"/>
              <w:jc w:val="center"/>
              <w:rPr>
                <w:rFonts w:cs="宋体"/>
                <w:b/>
                <w:bCs/>
                <w:sz w:val="21"/>
                <w:szCs w:val="21"/>
              </w:rPr>
            </w:pPr>
            <w:r>
              <w:rPr>
                <w:rFonts w:hint="eastAsia" w:cs="宋体"/>
                <w:b/>
                <w:bCs/>
                <w:sz w:val="21"/>
                <w:szCs w:val="21"/>
              </w:rPr>
              <w:t>层次</w:t>
            </w:r>
          </w:p>
        </w:tc>
        <w:tc>
          <w:tcPr>
            <w:tcW w:w="1276" w:type="dxa"/>
            <w:shd w:val="clear" w:color="auto" w:fill="D8D8D8" w:themeFill="background1" w:themeFillShade="D9"/>
          </w:tcPr>
          <w:p>
            <w:pPr>
              <w:tabs>
                <w:tab w:val="left" w:pos="883"/>
              </w:tabs>
              <w:spacing w:before="156" w:after="156"/>
              <w:jc w:val="center"/>
              <w:rPr>
                <w:rFonts w:cs="宋体"/>
                <w:b/>
                <w:bCs/>
                <w:sz w:val="21"/>
                <w:szCs w:val="21"/>
              </w:rPr>
            </w:pPr>
            <w:r>
              <w:rPr>
                <w:rFonts w:hint="eastAsia" w:cs="宋体"/>
                <w:b/>
                <w:bCs/>
                <w:sz w:val="21"/>
                <w:szCs w:val="21"/>
              </w:rPr>
              <w:t>形式</w:t>
            </w:r>
          </w:p>
        </w:tc>
        <w:tc>
          <w:tcPr>
            <w:tcW w:w="6237" w:type="dxa"/>
            <w:shd w:val="clear" w:color="auto" w:fill="D8D8D8" w:themeFill="background1" w:themeFillShade="D9"/>
          </w:tcPr>
          <w:p>
            <w:pPr>
              <w:spacing w:before="156" w:after="156"/>
              <w:jc w:val="center"/>
              <w:rPr>
                <w:rFonts w:cs="宋体"/>
                <w:b/>
                <w:bCs/>
                <w:sz w:val="21"/>
                <w:szCs w:val="21"/>
              </w:rPr>
            </w:pPr>
            <w:r>
              <w:rPr>
                <w:rFonts w:hint="eastAsia" w:cs="宋体"/>
                <w:b/>
                <w:bCs/>
                <w:sz w:val="21"/>
                <w:szCs w:val="21"/>
              </w:rPr>
              <w:t>组织方式与培养目标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restart"/>
          </w:tcPr>
          <w:p>
            <w:pPr>
              <w:spacing w:before="156" w:after="156"/>
              <w:jc w:val="center"/>
              <w:rPr>
                <w:rFonts w:cs="宋体"/>
                <w:bCs/>
                <w:sz w:val="21"/>
                <w:szCs w:val="21"/>
              </w:rPr>
            </w:pPr>
            <w:r>
              <w:rPr>
                <w:rFonts w:hint="eastAsia" w:cs="宋体"/>
                <w:bCs/>
                <w:sz w:val="21"/>
                <w:szCs w:val="21"/>
              </w:rPr>
              <w:t>基础</w:t>
            </w:r>
          </w:p>
          <w:p>
            <w:pPr>
              <w:spacing w:before="156" w:after="156"/>
              <w:jc w:val="center"/>
              <w:rPr>
                <w:rFonts w:cs="宋体"/>
                <w:bCs/>
                <w:sz w:val="21"/>
                <w:szCs w:val="21"/>
              </w:rPr>
            </w:pPr>
            <w:r>
              <w:rPr>
                <w:rFonts w:hint="eastAsia" w:cs="宋体"/>
                <w:bCs/>
                <w:sz w:val="21"/>
                <w:szCs w:val="21"/>
              </w:rPr>
              <w:t>实践</w:t>
            </w:r>
          </w:p>
        </w:tc>
        <w:tc>
          <w:tcPr>
            <w:tcW w:w="1276" w:type="dxa"/>
          </w:tcPr>
          <w:p>
            <w:pPr>
              <w:spacing w:before="156" w:after="156"/>
              <w:jc w:val="center"/>
              <w:rPr>
                <w:rFonts w:cs="宋体"/>
                <w:bCs/>
                <w:sz w:val="21"/>
                <w:szCs w:val="21"/>
              </w:rPr>
            </w:pPr>
            <w:r>
              <w:rPr>
                <w:rFonts w:hint="eastAsia" w:cs="宋体"/>
                <w:bCs/>
                <w:sz w:val="21"/>
                <w:szCs w:val="21"/>
              </w:rPr>
              <w:t>认知实习</w:t>
            </w:r>
          </w:p>
        </w:tc>
        <w:tc>
          <w:tcPr>
            <w:tcW w:w="6237" w:type="dxa"/>
          </w:tcPr>
          <w:p>
            <w:pPr>
              <w:spacing w:before="156" w:after="156"/>
              <w:rPr>
                <w:rFonts w:cs="宋体"/>
                <w:bCs/>
                <w:sz w:val="21"/>
                <w:szCs w:val="21"/>
              </w:rPr>
            </w:pPr>
            <w:r>
              <w:rPr>
                <w:rFonts w:hint="eastAsia" w:cs="宋体"/>
                <w:bCs/>
                <w:sz w:val="21"/>
                <w:szCs w:val="21"/>
              </w:rPr>
              <w:t>在第一学期组织学生到工作岗位的环境去参观，以了解今后将要工作（实习）的环境，增加对将要从事的职业岗位的初部认识，使学生有针对性的进行后续学习。内容包括：工作岗位的一般要求、工作环境的基本条件、目前在岗位员工对职业岗位的认识和理解、企业对员工的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cs="宋体"/>
                <w:bCs/>
                <w:sz w:val="21"/>
                <w:szCs w:val="21"/>
              </w:rPr>
            </w:pPr>
          </w:p>
        </w:tc>
        <w:tc>
          <w:tcPr>
            <w:tcW w:w="1276" w:type="dxa"/>
          </w:tcPr>
          <w:p>
            <w:pPr>
              <w:spacing w:before="156" w:after="156"/>
              <w:jc w:val="center"/>
              <w:rPr>
                <w:rFonts w:cs="宋体"/>
                <w:bCs/>
                <w:sz w:val="21"/>
                <w:szCs w:val="21"/>
              </w:rPr>
            </w:pPr>
            <w:r>
              <w:rPr>
                <w:rFonts w:hint="eastAsia" w:cs="宋体"/>
                <w:bCs/>
                <w:sz w:val="21"/>
                <w:szCs w:val="21"/>
              </w:rPr>
              <w:t>课程实训</w:t>
            </w:r>
          </w:p>
        </w:tc>
        <w:tc>
          <w:tcPr>
            <w:tcW w:w="6237" w:type="dxa"/>
          </w:tcPr>
          <w:p>
            <w:pPr>
              <w:spacing w:before="156" w:after="156"/>
              <w:rPr>
                <w:rFonts w:cs="宋体"/>
                <w:bCs/>
                <w:sz w:val="21"/>
                <w:szCs w:val="21"/>
              </w:rPr>
            </w:pPr>
            <w:r>
              <w:rPr>
                <w:rFonts w:hint="eastAsia" w:cs="宋体"/>
                <w:bCs/>
                <w:sz w:val="21"/>
                <w:szCs w:val="21"/>
              </w:rPr>
              <w:t>以教、学、做合一的校内实训室平台为特征，目标是培养学生电子商务相关的基本技能。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9" w:type="dxa"/>
            <w:vMerge w:val="continue"/>
          </w:tcPr>
          <w:p>
            <w:pPr>
              <w:spacing w:before="156" w:after="156"/>
              <w:jc w:val="center"/>
              <w:rPr>
                <w:rFonts w:cs="宋体"/>
                <w:bCs/>
                <w:sz w:val="21"/>
                <w:szCs w:val="21"/>
              </w:rPr>
            </w:pPr>
          </w:p>
        </w:tc>
        <w:tc>
          <w:tcPr>
            <w:tcW w:w="1276" w:type="dxa"/>
          </w:tcPr>
          <w:p>
            <w:pPr>
              <w:spacing w:before="156" w:after="156"/>
              <w:jc w:val="center"/>
              <w:rPr>
                <w:rFonts w:cs="宋体"/>
                <w:bCs/>
                <w:sz w:val="21"/>
                <w:szCs w:val="21"/>
              </w:rPr>
            </w:pPr>
            <w:r>
              <w:rPr>
                <w:rFonts w:hint="eastAsia" w:cs="宋体"/>
                <w:bCs/>
                <w:sz w:val="21"/>
                <w:szCs w:val="21"/>
              </w:rPr>
              <w:t>社会实践</w:t>
            </w:r>
          </w:p>
        </w:tc>
        <w:tc>
          <w:tcPr>
            <w:tcW w:w="6237" w:type="dxa"/>
          </w:tcPr>
          <w:p>
            <w:pPr>
              <w:spacing w:before="156" w:after="156"/>
              <w:rPr>
                <w:rFonts w:cs="宋体"/>
                <w:bCs/>
                <w:sz w:val="21"/>
                <w:szCs w:val="21"/>
              </w:rPr>
            </w:pPr>
            <w:r>
              <w:rPr>
                <w:rFonts w:hint="eastAsia" w:cs="宋体"/>
                <w:bCs/>
                <w:sz w:val="21"/>
                <w:szCs w:val="21"/>
              </w:rPr>
              <w:t>在公共基础课中有关参与社会调查和参观，实地感受民情、社情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before="156" w:after="156"/>
              <w:jc w:val="center"/>
              <w:rPr>
                <w:rFonts w:cs="宋体"/>
                <w:bCs/>
                <w:sz w:val="21"/>
                <w:szCs w:val="21"/>
              </w:rPr>
            </w:pPr>
            <w:r>
              <w:rPr>
                <w:rFonts w:hint="eastAsia" w:cs="宋体"/>
                <w:bCs/>
                <w:sz w:val="21"/>
                <w:szCs w:val="21"/>
              </w:rPr>
              <w:t>综合</w:t>
            </w:r>
          </w:p>
          <w:p>
            <w:pPr>
              <w:spacing w:before="156" w:after="156"/>
              <w:jc w:val="center"/>
              <w:rPr>
                <w:rFonts w:cs="宋体"/>
                <w:bCs/>
                <w:sz w:val="21"/>
                <w:szCs w:val="21"/>
              </w:rPr>
            </w:pPr>
            <w:r>
              <w:rPr>
                <w:rFonts w:hint="eastAsia" w:cs="宋体"/>
                <w:bCs/>
                <w:sz w:val="21"/>
                <w:szCs w:val="21"/>
              </w:rPr>
              <w:t>实践</w:t>
            </w:r>
          </w:p>
        </w:tc>
        <w:tc>
          <w:tcPr>
            <w:tcW w:w="1276" w:type="dxa"/>
          </w:tcPr>
          <w:p>
            <w:pPr>
              <w:spacing w:before="156" w:after="156"/>
              <w:jc w:val="center"/>
              <w:rPr>
                <w:rFonts w:cs="宋体"/>
                <w:bCs/>
                <w:sz w:val="21"/>
                <w:szCs w:val="21"/>
              </w:rPr>
            </w:pPr>
            <w:r>
              <w:rPr>
                <w:rFonts w:hint="eastAsia" w:cs="宋体"/>
                <w:bCs/>
                <w:sz w:val="21"/>
                <w:szCs w:val="21"/>
              </w:rPr>
              <w:t>集中实训</w:t>
            </w:r>
          </w:p>
        </w:tc>
        <w:tc>
          <w:tcPr>
            <w:tcW w:w="6237" w:type="dxa"/>
          </w:tcPr>
          <w:p>
            <w:pPr>
              <w:spacing w:before="156" w:after="156"/>
              <w:jc w:val="left"/>
              <w:rPr>
                <w:rFonts w:cs="宋体"/>
                <w:bCs/>
                <w:sz w:val="21"/>
                <w:szCs w:val="21"/>
              </w:rPr>
            </w:pPr>
            <w:r>
              <w:rPr>
                <w:rFonts w:hint="eastAsia" w:cs="宋体"/>
                <w:bCs/>
                <w:sz w:val="21"/>
                <w:szCs w:val="21"/>
              </w:rPr>
              <w:t>进入企事业单位的相关职能部门，在部门领导的指导下进行电子商务实务，参与网络营销、电子商务技能应用、供应链物流管理、企业运营管理等，鼓励同学们结合所学知识与企业实际需要为企业提供技术支持和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59" w:type="dxa"/>
            <w:vMerge w:val="restart"/>
          </w:tcPr>
          <w:p>
            <w:pPr>
              <w:spacing w:before="156" w:after="156"/>
              <w:jc w:val="center"/>
              <w:rPr>
                <w:rFonts w:cs="宋体"/>
                <w:bCs/>
                <w:sz w:val="21"/>
                <w:szCs w:val="21"/>
              </w:rPr>
            </w:pPr>
            <w:r>
              <w:rPr>
                <w:rFonts w:hint="eastAsia" w:cs="宋体"/>
                <w:bCs/>
                <w:sz w:val="21"/>
                <w:szCs w:val="21"/>
              </w:rPr>
              <w:t>专业</w:t>
            </w:r>
          </w:p>
          <w:p>
            <w:pPr>
              <w:spacing w:before="156" w:after="156"/>
              <w:jc w:val="center"/>
              <w:rPr>
                <w:rFonts w:cs="宋体"/>
                <w:bCs/>
                <w:sz w:val="21"/>
                <w:szCs w:val="21"/>
              </w:rPr>
            </w:pPr>
            <w:r>
              <w:rPr>
                <w:rFonts w:hint="eastAsia" w:cs="宋体"/>
                <w:bCs/>
                <w:sz w:val="21"/>
                <w:szCs w:val="21"/>
              </w:rPr>
              <w:t>实践</w:t>
            </w:r>
          </w:p>
        </w:tc>
        <w:tc>
          <w:tcPr>
            <w:tcW w:w="1276" w:type="dxa"/>
          </w:tcPr>
          <w:p>
            <w:pPr>
              <w:spacing w:before="156" w:after="156"/>
              <w:jc w:val="center"/>
              <w:rPr>
                <w:rFonts w:cs="宋体"/>
                <w:bCs/>
                <w:sz w:val="21"/>
                <w:szCs w:val="21"/>
              </w:rPr>
            </w:pPr>
            <w:r>
              <w:rPr>
                <w:rFonts w:hint="eastAsia" w:cs="宋体"/>
                <w:bCs/>
                <w:sz w:val="21"/>
                <w:szCs w:val="21"/>
              </w:rPr>
              <w:t>毕业设计</w:t>
            </w:r>
          </w:p>
        </w:tc>
        <w:tc>
          <w:tcPr>
            <w:tcW w:w="6237" w:type="dxa"/>
            <w:vMerge w:val="restart"/>
          </w:tcPr>
          <w:p>
            <w:pPr>
              <w:spacing w:before="156" w:after="156"/>
              <w:jc w:val="left"/>
              <w:rPr>
                <w:rFonts w:cs="宋体"/>
                <w:bCs/>
                <w:sz w:val="21"/>
                <w:szCs w:val="21"/>
              </w:rPr>
            </w:pPr>
            <w:r>
              <w:rPr>
                <w:rFonts w:hint="eastAsia" w:cs="宋体"/>
                <w:bCs/>
                <w:sz w:val="21"/>
                <w:szCs w:val="21"/>
              </w:rPr>
              <w:t>集中在第十学期进行，学生以准员工的身份进入企业进行顶岗实习，直接进入项目组参与项目的开发工作。目标是培养学生的综合技能，即具体职业岗位所需的综合能力。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cs="宋体"/>
                <w:bCs/>
                <w:sz w:val="21"/>
                <w:szCs w:val="21"/>
              </w:rPr>
            </w:pPr>
          </w:p>
        </w:tc>
        <w:tc>
          <w:tcPr>
            <w:tcW w:w="1276" w:type="dxa"/>
          </w:tcPr>
          <w:p>
            <w:pPr>
              <w:spacing w:before="156" w:after="156"/>
              <w:jc w:val="center"/>
              <w:rPr>
                <w:rFonts w:cs="宋体"/>
                <w:bCs/>
                <w:sz w:val="21"/>
                <w:szCs w:val="21"/>
              </w:rPr>
            </w:pPr>
            <w:r>
              <w:rPr>
                <w:rFonts w:hint="eastAsia" w:cs="宋体"/>
                <w:bCs/>
                <w:sz w:val="21"/>
                <w:szCs w:val="21"/>
              </w:rPr>
              <w:t>顶岗实习</w:t>
            </w:r>
          </w:p>
        </w:tc>
        <w:tc>
          <w:tcPr>
            <w:tcW w:w="6237" w:type="dxa"/>
            <w:vMerge w:val="continue"/>
          </w:tcPr>
          <w:p>
            <w:pPr>
              <w:spacing w:before="156" w:after="156"/>
              <w:jc w:val="left"/>
              <w:rPr>
                <w:rFonts w:cs="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restart"/>
          </w:tcPr>
          <w:p>
            <w:pPr>
              <w:spacing w:before="156" w:after="156"/>
              <w:jc w:val="center"/>
              <w:rPr>
                <w:rFonts w:cs="宋体"/>
                <w:bCs/>
                <w:sz w:val="21"/>
                <w:szCs w:val="21"/>
              </w:rPr>
            </w:pPr>
            <w:r>
              <w:rPr>
                <w:rFonts w:hint="eastAsia" w:cs="宋体"/>
                <w:bCs/>
                <w:sz w:val="21"/>
                <w:szCs w:val="21"/>
              </w:rPr>
              <w:t>创新</w:t>
            </w:r>
          </w:p>
          <w:p>
            <w:pPr>
              <w:spacing w:before="156" w:after="156"/>
              <w:jc w:val="center"/>
              <w:rPr>
                <w:rFonts w:cs="宋体"/>
                <w:bCs/>
                <w:sz w:val="21"/>
                <w:szCs w:val="21"/>
              </w:rPr>
            </w:pPr>
            <w:r>
              <w:rPr>
                <w:rFonts w:hint="eastAsia" w:cs="宋体"/>
                <w:bCs/>
                <w:sz w:val="21"/>
                <w:szCs w:val="21"/>
              </w:rPr>
              <w:t>实践</w:t>
            </w:r>
          </w:p>
        </w:tc>
        <w:tc>
          <w:tcPr>
            <w:tcW w:w="1276" w:type="dxa"/>
          </w:tcPr>
          <w:p>
            <w:pPr>
              <w:spacing w:before="156" w:after="156"/>
              <w:jc w:val="center"/>
              <w:rPr>
                <w:rFonts w:cs="宋体"/>
                <w:bCs/>
                <w:sz w:val="21"/>
                <w:szCs w:val="21"/>
              </w:rPr>
            </w:pPr>
            <w:r>
              <w:rPr>
                <w:rFonts w:hint="eastAsia" w:cs="宋体"/>
                <w:bCs/>
                <w:sz w:val="21"/>
                <w:szCs w:val="21"/>
              </w:rPr>
              <w:t>各类竞赛项目</w:t>
            </w:r>
          </w:p>
        </w:tc>
        <w:tc>
          <w:tcPr>
            <w:tcW w:w="6237" w:type="dxa"/>
            <w:vMerge w:val="restart"/>
          </w:tcPr>
          <w:p>
            <w:pPr>
              <w:spacing w:before="156" w:after="156"/>
              <w:rPr>
                <w:rFonts w:cs="宋体"/>
                <w:bCs/>
                <w:sz w:val="21"/>
                <w:szCs w:val="21"/>
              </w:rPr>
            </w:pPr>
            <w:r>
              <w:rPr>
                <w:rFonts w:hint="eastAsia" w:cs="宋体"/>
                <w:bCs/>
                <w:sz w:val="21"/>
                <w:szCs w:val="21"/>
              </w:rPr>
              <w:t>创新实践面向校内所有学生，是以创新为导向、兴趣为纽带，打破专业、技术、人群壁垒，激发兴趣和创造力，培养学生创新能力、创业能力和知识应用能力为主的课外科技创新实践活动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cs="宋体"/>
                <w:bCs/>
                <w:sz w:val="21"/>
                <w:szCs w:val="21"/>
              </w:rPr>
            </w:pPr>
          </w:p>
        </w:tc>
        <w:tc>
          <w:tcPr>
            <w:tcW w:w="1276" w:type="dxa"/>
          </w:tcPr>
          <w:p>
            <w:pPr>
              <w:spacing w:before="156" w:after="156"/>
              <w:jc w:val="center"/>
              <w:rPr>
                <w:rFonts w:cs="宋体"/>
                <w:bCs/>
                <w:sz w:val="21"/>
                <w:szCs w:val="21"/>
              </w:rPr>
            </w:pPr>
            <w:r>
              <w:rPr>
                <w:rFonts w:hint="eastAsia" w:cs="宋体"/>
                <w:bCs/>
                <w:sz w:val="21"/>
                <w:szCs w:val="21"/>
              </w:rPr>
              <w:t>课外科技</w:t>
            </w:r>
          </w:p>
          <w:p>
            <w:pPr>
              <w:spacing w:before="156" w:after="156"/>
              <w:jc w:val="center"/>
              <w:rPr>
                <w:rFonts w:cs="宋体"/>
                <w:bCs/>
                <w:sz w:val="21"/>
                <w:szCs w:val="21"/>
              </w:rPr>
            </w:pPr>
            <w:r>
              <w:rPr>
                <w:rFonts w:hint="eastAsia" w:cs="宋体"/>
                <w:bCs/>
                <w:sz w:val="21"/>
                <w:szCs w:val="21"/>
              </w:rPr>
              <w:t>创新活动</w:t>
            </w:r>
          </w:p>
        </w:tc>
        <w:tc>
          <w:tcPr>
            <w:tcW w:w="6237" w:type="dxa"/>
            <w:vMerge w:val="continue"/>
          </w:tcPr>
          <w:p>
            <w:pPr>
              <w:spacing w:before="156" w:after="156"/>
              <w:jc w:val="center"/>
              <w:rPr>
                <w:rFonts w:cs="宋体"/>
                <w:bCs/>
                <w:sz w:val="21"/>
                <w:szCs w:val="21"/>
              </w:rPr>
            </w:pPr>
          </w:p>
        </w:tc>
      </w:tr>
    </w:tbl>
    <w:p>
      <w:pPr>
        <w:rPr>
          <w:bCs/>
          <w:szCs w:val="21"/>
        </w:rPr>
      </w:pPr>
    </w:p>
    <w:p>
      <w:pPr>
        <w:spacing w:line="600" w:lineRule="exact"/>
        <w:outlineLvl w:val="0"/>
        <w:rPr>
          <w:rFonts w:ascii="黑体" w:hAnsi="黑体" w:eastAsia="黑体" w:cs="黑体"/>
          <w:sz w:val="32"/>
          <w:szCs w:val="32"/>
        </w:rPr>
        <w:sectPr>
          <w:pgSz w:w="11906" w:h="16838"/>
          <w:pgMar w:top="1440" w:right="1797" w:bottom="1440" w:left="1797" w:header="851" w:footer="1559" w:gutter="0"/>
          <w:cols w:space="720" w:num="1"/>
          <w:docGrid w:type="lines" w:linePitch="381" w:charSpace="0"/>
        </w:sectPr>
      </w:pPr>
    </w:p>
    <w:p>
      <w:pPr>
        <w:spacing w:line="600" w:lineRule="exact"/>
        <w:outlineLvl w:val="0"/>
        <w:rPr>
          <w:rFonts w:ascii="黑体" w:hAnsi="黑体" w:eastAsia="黑体" w:cs="黑体"/>
          <w:sz w:val="32"/>
          <w:szCs w:val="32"/>
        </w:rPr>
      </w:pPr>
      <w:bookmarkStart w:id="19" w:name="_Toc76052132"/>
      <w:r>
        <w:rPr>
          <w:rFonts w:hint="eastAsia" w:ascii="黑体" w:hAnsi="黑体" w:eastAsia="黑体" w:cs="黑体"/>
          <w:sz w:val="32"/>
          <w:szCs w:val="32"/>
        </w:rPr>
        <w:t>七、教学进程总体安排</w:t>
      </w:r>
      <w:bookmarkEnd w:id="19"/>
    </w:p>
    <w:p>
      <w:pPr>
        <w:pStyle w:val="13"/>
        <w:tabs>
          <w:tab w:val="center" w:pos="4153"/>
        </w:tabs>
        <w:spacing w:before="0" w:after="0" w:line="600" w:lineRule="exact"/>
        <w:jc w:val="left"/>
        <w:outlineLvl w:val="1"/>
        <w:rPr>
          <w:rFonts w:ascii="宋体" w:hAnsi="宋体" w:cs="宋体"/>
          <w:b w:val="0"/>
          <w:bCs w:val="0"/>
          <w:sz w:val="28"/>
          <w:szCs w:val="28"/>
        </w:rPr>
      </w:pPr>
      <w:bookmarkStart w:id="20" w:name="_Toc76052133"/>
      <w:r>
        <w:rPr>
          <w:rFonts w:hint="eastAsia" w:ascii="宋体" w:hAnsi="宋体" w:cs="宋体"/>
          <w:b w:val="0"/>
          <w:bCs w:val="0"/>
          <w:sz w:val="28"/>
          <w:szCs w:val="28"/>
        </w:rPr>
        <w:t>（一）教学进程表</w:t>
      </w:r>
      <w:bookmarkEnd w:id="20"/>
    </w:p>
    <w:p>
      <w:pPr>
        <w:spacing w:before="114" w:beforeLines="30"/>
        <w:ind w:firstLine="420"/>
        <w:rPr>
          <w:rFonts w:ascii="仿宋" w:hAnsi="仿宋" w:eastAsia="仿宋" w:cs="仿宋_GB2312"/>
          <w:bCs/>
          <w:spacing w:val="-2"/>
          <w:szCs w:val="28"/>
        </w:rPr>
      </w:pPr>
    </w:p>
    <w:tbl>
      <w:tblPr>
        <w:tblStyle w:val="15"/>
        <w:tblW w:w="15320" w:type="dxa"/>
        <w:jc w:val="center"/>
        <w:tblLayout w:type="fixed"/>
        <w:tblCellMar>
          <w:top w:w="0" w:type="dxa"/>
          <w:left w:w="108" w:type="dxa"/>
          <w:bottom w:w="0" w:type="dxa"/>
          <w:right w:w="108" w:type="dxa"/>
        </w:tblCellMar>
      </w:tblPr>
      <w:tblGrid>
        <w:gridCol w:w="1080"/>
        <w:gridCol w:w="1080"/>
        <w:gridCol w:w="2380"/>
        <w:gridCol w:w="720"/>
        <w:gridCol w:w="660"/>
        <w:gridCol w:w="760"/>
        <w:gridCol w:w="1080"/>
        <w:gridCol w:w="1080"/>
        <w:gridCol w:w="1080"/>
        <w:gridCol w:w="1080"/>
        <w:gridCol w:w="1080"/>
        <w:gridCol w:w="1080"/>
        <w:gridCol w:w="1080"/>
        <w:gridCol w:w="1080"/>
      </w:tblGrid>
      <w:tr>
        <w:tblPrEx>
          <w:tblCellMar>
            <w:top w:w="0" w:type="dxa"/>
            <w:left w:w="108" w:type="dxa"/>
            <w:bottom w:w="0" w:type="dxa"/>
            <w:right w:w="108" w:type="dxa"/>
          </w:tblCellMar>
        </w:tblPrEx>
        <w:trPr>
          <w:trHeight w:val="300" w:hRule="atLeast"/>
          <w:jc w:val="center"/>
        </w:trPr>
        <w:tc>
          <w:tcPr>
            <w:tcW w:w="1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课程类别</w:t>
            </w:r>
          </w:p>
        </w:tc>
        <w:tc>
          <w:tcPr>
            <w:tcW w:w="1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序号</w:t>
            </w:r>
          </w:p>
        </w:tc>
        <w:tc>
          <w:tcPr>
            <w:tcW w:w="23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课程名称</w:t>
            </w:r>
          </w:p>
        </w:tc>
        <w:tc>
          <w:tcPr>
            <w:tcW w:w="72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总学时</w:t>
            </w:r>
          </w:p>
        </w:tc>
        <w:tc>
          <w:tcPr>
            <w:tcW w:w="660" w:type="dxa"/>
            <w:vMerge w:val="restart"/>
            <w:tcBorders>
              <w:top w:val="single" w:color="auto" w:sz="8" w:space="0"/>
              <w:left w:val="single" w:color="auto" w:sz="8" w:space="0"/>
              <w:bottom w:val="single" w:color="000000" w:sz="8" w:space="0"/>
              <w:right w:val="nil"/>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理论</w:t>
            </w:r>
          </w:p>
        </w:tc>
        <w:tc>
          <w:tcPr>
            <w:tcW w:w="760" w:type="dxa"/>
            <w:vMerge w:val="restart"/>
            <w:tcBorders>
              <w:top w:val="single" w:color="auto" w:sz="8" w:space="0"/>
              <w:left w:val="nil"/>
              <w:bottom w:val="single" w:color="000000"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实践</w:t>
            </w:r>
          </w:p>
        </w:tc>
        <w:tc>
          <w:tcPr>
            <w:tcW w:w="6480" w:type="dxa"/>
            <w:gridSpan w:val="6"/>
            <w:tcBorders>
              <w:top w:val="single" w:color="auto" w:sz="8" w:space="0"/>
              <w:left w:val="nil"/>
              <w:bottom w:val="single" w:color="auto" w:sz="8" w:space="0"/>
              <w:right w:val="single" w:color="000000"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教学周数与学时</w:t>
            </w: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cs="宋体"/>
                <w:b/>
                <w:bCs/>
                <w:snapToGrid/>
                <w:color w:val="000000"/>
                <w:sz w:val="20"/>
              </w:rPr>
            </w:pPr>
            <w:r>
              <w:rPr>
                <w:rFonts w:hint="eastAsia" w:cs="宋体"/>
                <w:b/>
                <w:bCs/>
                <w:snapToGrid/>
                <w:color w:val="000000"/>
                <w:sz w:val="20"/>
              </w:rPr>
              <w:t>考核方式</w:t>
            </w: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23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72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660" w:type="dxa"/>
            <w:vMerge w:val="continue"/>
            <w:tcBorders>
              <w:top w:val="single" w:color="auto" w:sz="8" w:space="0"/>
              <w:left w:val="single" w:color="auto" w:sz="8" w:space="0"/>
              <w:bottom w:val="single" w:color="000000" w:sz="8" w:space="0"/>
              <w:right w:val="nil"/>
            </w:tcBorders>
            <w:vAlign w:val="center"/>
          </w:tcPr>
          <w:p>
            <w:pPr>
              <w:widowControl/>
              <w:jc w:val="left"/>
              <w:rPr>
                <w:rFonts w:cs="宋体"/>
                <w:b/>
                <w:bCs/>
                <w:snapToGrid/>
                <w:color w:val="000000"/>
                <w:sz w:val="24"/>
                <w:szCs w:val="24"/>
              </w:rPr>
            </w:pPr>
          </w:p>
        </w:tc>
        <w:tc>
          <w:tcPr>
            <w:tcW w:w="760" w:type="dxa"/>
            <w:vMerge w:val="continue"/>
            <w:tcBorders>
              <w:top w:val="single" w:color="auto" w:sz="8" w:space="0"/>
              <w:left w:val="nil"/>
              <w:bottom w:val="single" w:color="000000" w:sz="8" w:space="0"/>
              <w:right w:val="single" w:color="auto" w:sz="8" w:space="0"/>
            </w:tcBorders>
            <w:vAlign w:val="center"/>
          </w:tcPr>
          <w:p>
            <w:pPr>
              <w:widowControl/>
              <w:jc w:val="left"/>
              <w:rPr>
                <w:rFonts w:cs="宋体"/>
                <w:b/>
                <w:bCs/>
                <w:snapToGrid/>
                <w:color w:val="000000"/>
                <w:sz w:val="24"/>
                <w:szCs w:val="24"/>
              </w:rPr>
            </w:pP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一</w:t>
            </w: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二</w:t>
            </w:r>
          </w:p>
        </w:tc>
        <w:tc>
          <w:tcPr>
            <w:tcW w:w="2160" w:type="dxa"/>
            <w:gridSpan w:val="2"/>
            <w:tcBorders>
              <w:top w:val="single" w:color="auto" w:sz="8" w:space="0"/>
              <w:left w:val="nil"/>
              <w:bottom w:val="single" w:color="auto" w:sz="8" w:space="0"/>
              <w:right w:val="single" w:color="000000" w:sz="8" w:space="0"/>
            </w:tcBorders>
            <w:shd w:val="clear" w:color="auto" w:fill="auto"/>
            <w:vAlign w:val="center"/>
          </w:tcPr>
          <w:p>
            <w:pPr>
              <w:widowControl/>
              <w:jc w:val="center"/>
              <w:rPr>
                <w:rFonts w:cs="宋体"/>
                <w:snapToGrid/>
                <w:color w:val="000000"/>
                <w:sz w:val="24"/>
                <w:szCs w:val="24"/>
              </w:rPr>
            </w:pPr>
            <w:r>
              <w:rPr>
                <w:rFonts w:hint="eastAsia" w:cs="宋体"/>
                <w:snapToGrid/>
                <w:color w:val="000000"/>
                <w:sz w:val="24"/>
                <w:szCs w:val="24"/>
              </w:rPr>
              <w:t>三</w:t>
            </w:r>
          </w:p>
        </w:tc>
        <w:tc>
          <w:tcPr>
            <w:tcW w:w="1080"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0"/>
              </w:rPr>
            </w:pPr>
            <w:r>
              <w:rPr>
                <w:rFonts w:hint="eastAsia" w:cs="宋体"/>
                <w:b/>
                <w:bCs/>
                <w:snapToGrid/>
                <w:color w:val="000000"/>
                <w:sz w:val="20"/>
              </w:rPr>
              <w:t>考试</w:t>
            </w:r>
          </w:p>
        </w:tc>
        <w:tc>
          <w:tcPr>
            <w:tcW w:w="1080"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cs="宋体"/>
                <w:b/>
                <w:bCs/>
                <w:snapToGrid/>
                <w:color w:val="000000"/>
                <w:sz w:val="20"/>
              </w:rPr>
            </w:pPr>
            <w:r>
              <w:rPr>
                <w:rFonts w:hint="eastAsia" w:cs="宋体"/>
                <w:b/>
                <w:bCs/>
                <w:snapToGrid/>
                <w:color w:val="000000"/>
                <w:sz w:val="20"/>
              </w:rPr>
              <w:t>考查</w:t>
            </w: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10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238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72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cs="宋体"/>
                <w:b/>
                <w:bCs/>
                <w:snapToGrid/>
                <w:color w:val="000000"/>
                <w:sz w:val="24"/>
                <w:szCs w:val="24"/>
              </w:rPr>
            </w:pPr>
          </w:p>
        </w:tc>
        <w:tc>
          <w:tcPr>
            <w:tcW w:w="660" w:type="dxa"/>
            <w:vMerge w:val="continue"/>
            <w:tcBorders>
              <w:top w:val="single" w:color="auto" w:sz="8" w:space="0"/>
              <w:left w:val="single" w:color="auto" w:sz="8" w:space="0"/>
              <w:bottom w:val="single" w:color="000000" w:sz="8" w:space="0"/>
              <w:right w:val="nil"/>
            </w:tcBorders>
            <w:vAlign w:val="center"/>
          </w:tcPr>
          <w:p>
            <w:pPr>
              <w:widowControl/>
              <w:jc w:val="left"/>
              <w:rPr>
                <w:rFonts w:cs="宋体"/>
                <w:b/>
                <w:bCs/>
                <w:snapToGrid/>
                <w:color w:val="000000"/>
                <w:sz w:val="24"/>
                <w:szCs w:val="24"/>
              </w:rPr>
            </w:pPr>
          </w:p>
        </w:tc>
        <w:tc>
          <w:tcPr>
            <w:tcW w:w="760" w:type="dxa"/>
            <w:vMerge w:val="continue"/>
            <w:tcBorders>
              <w:top w:val="single" w:color="auto" w:sz="8" w:space="0"/>
              <w:left w:val="nil"/>
              <w:bottom w:val="single" w:color="000000" w:sz="8" w:space="0"/>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3</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4</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5</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6</w:t>
            </w: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cs="宋体"/>
                <w:b/>
                <w:bCs/>
                <w:snapToGrid/>
                <w:color w:val="000000"/>
                <w:sz w:val="20"/>
              </w:rPr>
            </w:pPr>
          </w:p>
        </w:tc>
        <w:tc>
          <w:tcPr>
            <w:tcW w:w="1080" w:type="dxa"/>
            <w:vMerge w:val="continue"/>
            <w:tcBorders>
              <w:top w:val="nil"/>
              <w:left w:val="single" w:color="auto" w:sz="8" w:space="0"/>
              <w:bottom w:val="single" w:color="000000" w:sz="8" w:space="0"/>
              <w:right w:val="single" w:color="auto" w:sz="8" w:space="0"/>
            </w:tcBorders>
            <w:vAlign w:val="center"/>
          </w:tcPr>
          <w:p>
            <w:pPr>
              <w:widowControl/>
              <w:jc w:val="left"/>
              <w:rPr>
                <w:rFonts w:cs="宋体"/>
                <w:b/>
                <w:bCs/>
                <w:snapToGrid/>
                <w:color w:val="000000"/>
                <w:sz w:val="20"/>
              </w:rPr>
            </w:pPr>
          </w:p>
        </w:tc>
      </w:tr>
      <w:tr>
        <w:tblPrEx>
          <w:tblCellMar>
            <w:top w:w="0" w:type="dxa"/>
            <w:left w:w="108" w:type="dxa"/>
            <w:bottom w:w="0" w:type="dxa"/>
            <w:right w:w="108" w:type="dxa"/>
          </w:tblCellMar>
        </w:tblPrEx>
        <w:trPr>
          <w:trHeight w:val="300" w:hRule="atLeast"/>
          <w:jc w:val="center"/>
        </w:trPr>
        <w:tc>
          <w:tcPr>
            <w:tcW w:w="10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cs="宋体"/>
                <w:b/>
                <w:bCs/>
                <w:snapToGrid/>
                <w:color w:val="000000"/>
                <w:sz w:val="24"/>
                <w:szCs w:val="24"/>
              </w:rPr>
            </w:pPr>
          </w:p>
        </w:tc>
        <w:tc>
          <w:tcPr>
            <w:tcW w:w="10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cs="宋体"/>
                <w:b/>
                <w:bCs/>
                <w:snapToGrid/>
                <w:color w:val="000000"/>
                <w:sz w:val="24"/>
                <w:szCs w:val="24"/>
              </w:rPr>
            </w:pPr>
          </w:p>
        </w:tc>
        <w:tc>
          <w:tcPr>
            <w:tcW w:w="238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cs="宋体"/>
                <w:b/>
                <w:bCs/>
                <w:snapToGrid/>
                <w:color w:val="000000"/>
                <w:sz w:val="24"/>
                <w:szCs w:val="24"/>
              </w:rPr>
            </w:pPr>
          </w:p>
        </w:tc>
        <w:tc>
          <w:tcPr>
            <w:tcW w:w="720" w:type="dxa"/>
            <w:vMerge w:val="continue"/>
            <w:tcBorders>
              <w:top w:val="single" w:color="auto" w:sz="8" w:space="0"/>
              <w:left w:val="single" w:color="auto" w:sz="8" w:space="0"/>
              <w:bottom w:val="single" w:color="auto" w:sz="4" w:space="0"/>
              <w:right w:val="single" w:color="auto" w:sz="8" w:space="0"/>
            </w:tcBorders>
            <w:vAlign w:val="center"/>
          </w:tcPr>
          <w:p>
            <w:pPr>
              <w:widowControl/>
              <w:jc w:val="left"/>
              <w:rPr>
                <w:rFonts w:cs="宋体"/>
                <w:b/>
                <w:bCs/>
                <w:snapToGrid/>
                <w:color w:val="000000"/>
                <w:sz w:val="24"/>
                <w:szCs w:val="24"/>
              </w:rPr>
            </w:pPr>
          </w:p>
        </w:tc>
        <w:tc>
          <w:tcPr>
            <w:tcW w:w="660" w:type="dxa"/>
            <w:vMerge w:val="continue"/>
            <w:tcBorders>
              <w:top w:val="single" w:color="auto" w:sz="8" w:space="0"/>
              <w:left w:val="single" w:color="auto" w:sz="8" w:space="0"/>
              <w:bottom w:val="single" w:color="auto" w:sz="4" w:space="0"/>
              <w:right w:val="nil"/>
            </w:tcBorders>
            <w:vAlign w:val="center"/>
          </w:tcPr>
          <w:p>
            <w:pPr>
              <w:widowControl/>
              <w:jc w:val="left"/>
              <w:rPr>
                <w:rFonts w:cs="宋体"/>
                <w:b/>
                <w:bCs/>
                <w:snapToGrid/>
                <w:color w:val="000000"/>
                <w:sz w:val="24"/>
                <w:szCs w:val="24"/>
              </w:rPr>
            </w:pPr>
          </w:p>
        </w:tc>
        <w:tc>
          <w:tcPr>
            <w:tcW w:w="760" w:type="dxa"/>
            <w:vMerge w:val="continue"/>
            <w:tcBorders>
              <w:top w:val="single" w:color="auto" w:sz="8" w:space="0"/>
              <w:left w:val="nil"/>
              <w:bottom w:val="single" w:color="auto" w:sz="4" w:space="0"/>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18周</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4"/>
                <w:szCs w:val="24"/>
              </w:rPr>
            </w:pPr>
            <w:r>
              <w:rPr>
                <w:rFonts w:hint="eastAsia" w:cs="宋体"/>
                <w:snapToGrid/>
                <w:color w:val="000000"/>
                <w:sz w:val="24"/>
                <w:szCs w:val="24"/>
              </w:rPr>
              <w:t>　</w:t>
            </w:r>
          </w:p>
        </w:tc>
        <w:tc>
          <w:tcPr>
            <w:tcW w:w="1080" w:type="dxa"/>
            <w:vMerge w:val="continue"/>
            <w:tcBorders>
              <w:top w:val="nil"/>
              <w:left w:val="single" w:color="auto" w:sz="8" w:space="0"/>
              <w:bottom w:val="single" w:color="auto" w:sz="4" w:space="0"/>
              <w:right w:val="single" w:color="auto" w:sz="8" w:space="0"/>
            </w:tcBorders>
            <w:vAlign w:val="center"/>
          </w:tcPr>
          <w:p>
            <w:pPr>
              <w:widowControl/>
              <w:jc w:val="left"/>
              <w:rPr>
                <w:rFonts w:cs="宋体"/>
                <w:b/>
                <w:bCs/>
                <w:snapToGrid/>
                <w:color w:val="000000"/>
                <w:sz w:val="20"/>
              </w:rPr>
            </w:pPr>
          </w:p>
        </w:tc>
        <w:tc>
          <w:tcPr>
            <w:tcW w:w="1080" w:type="dxa"/>
            <w:vMerge w:val="continue"/>
            <w:tcBorders>
              <w:top w:val="nil"/>
              <w:left w:val="single" w:color="auto" w:sz="8" w:space="0"/>
              <w:bottom w:val="single" w:color="auto" w:sz="4" w:space="0"/>
              <w:right w:val="single" w:color="auto" w:sz="8" w:space="0"/>
            </w:tcBorders>
            <w:vAlign w:val="center"/>
          </w:tcPr>
          <w:p>
            <w:pPr>
              <w:widowControl/>
              <w:jc w:val="left"/>
              <w:rPr>
                <w:rFonts w:cs="宋体"/>
                <w:b/>
                <w:bCs/>
                <w:snapToGrid/>
                <w:color w:val="000000"/>
                <w:sz w:val="20"/>
              </w:rPr>
            </w:pPr>
          </w:p>
        </w:tc>
      </w:tr>
      <w:tr>
        <w:tblPrEx>
          <w:tblCellMar>
            <w:top w:w="0" w:type="dxa"/>
            <w:left w:w="108" w:type="dxa"/>
            <w:bottom w:w="0" w:type="dxa"/>
            <w:right w:w="108" w:type="dxa"/>
          </w:tblCellMar>
        </w:tblPrEx>
        <w:trPr>
          <w:trHeight w:val="499" w:hRule="atLeast"/>
          <w:jc w:val="center"/>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公</w:t>
            </w:r>
            <w:r>
              <w:rPr>
                <w:rFonts w:hint="eastAsia" w:cs="宋体"/>
                <w:b/>
                <w:bCs/>
                <w:snapToGrid/>
                <w:color w:val="000000"/>
                <w:sz w:val="24"/>
                <w:szCs w:val="24"/>
              </w:rPr>
              <w:br w:type="textWrapping"/>
            </w:r>
            <w:r>
              <w:rPr>
                <w:rFonts w:hint="eastAsia" w:cs="宋体"/>
                <w:b/>
                <w:bCs/>
                <w:snapToGrid/>
                <w:color w:val="000000"/>
                <w:sz w:val="24"/>
                <w:szCs w:val="24"/>
              </w:rPr>
              <w:t>共</w:t>
            </w:r>
            <w:r>
              <w:rPr>
                <w:rFonts w:hint="eastAsia" w:cs="宋体"/>
                <w:b/>
                <w:bCs/>
                <w:snapToGrid/>
                <w:color w:val="000000"/>
                <w:sz w:val="24"/>
                <w:szCs w:val="24"/>
              </w:rPr>
              <w:br w:type="textWrapping"/>
            </w:r>
            <w:r>
              <w:rPr>
                <w:rFonts w:hint="eastAsia" w:cs="宋体"/>
                <w:b/>
                <w:bCs/>
                <w:snapToGrid/>
                <w:color w:val="000000"/>
                <w:sz w:val="24"/>
                <w:szCs w:val="24"/>
              </w:rPr>
              <w:t>基</w:t>
            </w:r>
            <w:r>
              <w:rPr>
                <w:rFonts w:hint="eastAsia" w:cs="宋体"/>
                <w:b/>
                <w:bCs/>
                <w:snapToGrid/>
                <w:color w:val="000000"/>
                <w:sz w:val="24"/>
                <w:szCs w:val="24"/>
              </w:rPr>
              <w:br w:type="textWrapping"/>
            </w:r>
            <w:r>
              <w:rPr>
                <w:rFonts w:hint="eastAsia" w:cs="宋体"/>
                <w:b/>
                <w:bCs/>
                <w:snapToGrid/>
                <w:color w:val="000000"/>
                <w:sz w:val="24"/>
                <w:szCs w:val="24"/>
              </w:rPr>
              <w:t>础</w:t>
            </w:r>
            <w:r>
              <w:rPr>
                <w:rFonts w:hint="eastAsia" w:cs="宋体"/>
                <w:b/>
                <w:bCs/>
                <w:snapToGrid/>
                <w:color w:val="000000"/>
                <w:sz w:val="24"/>
                <w:szCs w:val="24"/>
              </w:rPr>
              <w:br w:type="textWrapping"/>
            </w:r>
            <w:r>
              <w:rPr>
                <w:rFonts w:hint="eastAsia" w:cs="宋体"/>
                <w:b/>
                <w:bCs/>
                <w:snapToGrid/>
                <w:color w:val="000000"/>
                <w:sz w:val="24"/>
                <w:szCs w:val="24"/>
              </w:rPr>
              <w:t>课</w:t>
            </w:r>
            <w:r>
              <w:rPr>
                <w:rFonts w:hint="eastAsia" w:cs="宋体"/>
                <w:b/>
                <w:bCs/>
                <w:snapToGrid/>
                <w:color w:val="000000"/>
                <w:sz w:val="24"/>
                <w:szCs w:val="24"/>
              </w:rPr>
              <w:br w:type="textWrapping"/>
            </w:r>
            <w:r>
              <w:rPr>
                <w:rFonts w:hint="eastAsia" w:cs="宋体"/>
                <w:b/>
                <w:bCs/>
                <w:snapToGrid/>
                <w:color w:val="000000"/>
                <w:sz w:val="24"/>
                <w:szCs w:val="24"/>
              </w:rPr>
              <w:t>程</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语文</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198</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198</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1</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顶岗实习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数学</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英语</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信息技术</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144</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5</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中国特色社会主义</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6</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职业道德与法治</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心理健康与职业生涯</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8</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哲学与人生</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思政班会</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2</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10</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普通话</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11</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音乐鉴赏与实践</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12</w:t>
            </w:r>
          </w:p>
        </w:tc>
        <w:tc>
          <w:tcPr>
            <w:tcW w:w="23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美术鉴赏与实践</w:t>
            </w:r>
          </w:p>
        </w:tc>
        <w:tc>
          <w:tcPr>
            <w:tcW w:w="72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66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w:t>
            </w:r>
          </w:p>
        </w:tc>
        <w:tc>
          <w:tcPr>
            <w:tcW w:w="76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13</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中国书画</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14</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历史</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nil"/>
              <w:left w:val="single" w:color="auto" w:sz="4" w:space="0"/>
              <w:bottom w:val="single" w:color="auto" w:sz="4" w:space="0"/>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15</w:t>
            </w:r>
          </w:p>
        </w:tc>
        <w:tc>
          <w:tcPr>
            <w:tcW w:w="23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体育与健康</w:t>
            </w:r>
          </w:p>
        </w:tc>
        <w:tc>
          <w:tcPr>
            <w:tcW w:w="72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90</w:t>
            </w:r>
          </w:p>
        </w:tc>
        <w:tc>
          <w:tcPr>
            <w:tcW w:w="66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90</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nil"/>
              <w:bottom w:val="single" w:color="auto" w:sz="4"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w:t>
            </w:r>
          </w:p>
        </w:tc>
        <w:tc>
          <w:tcPr>
            <w:tcW w:w="1080" w:type="dxa"/>
            <w:tcBorders>
              <w:top w:val="nil"/>
              <w:left w:val="single" w:color="auto" w:sz="8" w:space="0"/>
              <w:bottom w:val="single" w:color="auto" w:sz="4"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1</w:t>
            </w:r>
          </w:p>
        </w:tc>
        <w:tc>
          <w:tcPr>
            <w:tcW w:w="1080" w:type="dxa"/>
            <w:vMerge w:val="continue"/>
            <w:tcBorders>
              <w:top w:val="nil"/>
              <w:left w:val="nil"/>
              <w:bottom w:val="single" w:color="auto" w:sz="4"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nil"/>
              <w:left w:val="nil"/>
              <w:bottom w:val="single" w:color="auto" w:sz="4"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专</w:t>
            </w:r>
            <w:r>
              <w:rPr>
                <w:rFonts w:hint="eastAsia" w:cs="宋体"/>
                <w:b/>
                <w:bCs/>
                <w:snapToGrid/>
                <w:color w:val="000000"/>
                <w:sz w:val="24"/>
                <w:szCs w:val="24"/>
              </w:rPr>
              <w:br w:type="textWrapping"/>
            </w:r>
            <w:r>
              <w:rPr>
                <w:rFonts w:hint="eastAsia" w:cs="宋体"/>
                <w:b/>
                <w:bCs/>
                <w:snapToGrid/>
                <w:color w:val="000000"/>
                <w:sz w:val="24"/>
                <w:szCs w:val="24"/>
              </w:rPr>
              <w:t>业    技    能</w:t>
            </w:r>
            <w:r>
              <w:rPr>
                <w:rFonts w:hint="eastAsia" w:cs="宋体"/>
                <w:b/>
                <w:bCs/>
                <w:snapToGrid/>
                <w:color w:val="000000"/>
                <w:sz w:val="24"/>
                <w:szCs w:val="24"/>
              </w:rPr>
              <w:br w:type="textWrapping"/>
            </w:r>
            <w:r>
              <w:rPr>
                <w:rFonts w:hint="eastAsia" w:cs="宋体"/>
                <w:b/>
                <w:bCs/>
                <w:snapToGrid/>
                <w:color w:val="000000"/>
                <w:sz w:val="24"/>
                <w:szCs w:val="24"/>
              </w:rPr>
              <w:t>课</w:t>
            </w:r>
            <w:r>
              <w:rPr>
                <w:rFonts w:hint="eastAsia" w:cs="宋体"/>
                <w:b/>
                <w:bCs/>
                <w:snapToGrid/>
                <w:color w:val="000000"/>
                <w:sz w:val="24"/>
                <w:szCs w:val="24"/>
              </w:rPr>
              <w:br w:type="textWrapping"/>
            </w:r>
            <w:r>
              <w:rPr>
                <w:rFonts w:hint="eastAsia" w:cs="宋体"/>
                <w:b/>
                <w:bCs/>
                <w:snapToGrid/>
                <w:color w:val="000000"/>
                <w:sz w:val="24"/>
                <w:szCs w:val="24"/>
              </w:rPr>
              <w:t>程</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16</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电子商务概论</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17</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货物贸易理论与实务</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xml:space="preserve">网络营销 </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54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19</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Photoshop图像处理（基础版）</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20</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网页制作</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126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126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21</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电子商务网页设计与制作(一)</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108</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108</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22</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电子商务物流</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23</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sz w:val="21"/>
                <w:szCs w:val="21"/>
              </w:rPr>
            </w:pPr>
            <w:r>
              <w:rPr>
                <w:rFonts w:hint="eastAsia" w:cs="宋体"/>
                <w:snapToGrid/>
                <w:sz w:val="21"/>
                <w:szCs w:val="21"/>
              </w:rPr>
              <w:t>移动电子商务</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24</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客户关系管理</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25</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软文写作</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b/>
                <w:bCs/>
                <w:snapToGrid/>
                <w:color w:val="000000"/>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26</w:t>
            </w:r>
          </w:p>
        </w:tc>
        <w:tc>
          <w:tcPr>
            <w:tcW w:w="23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sz w:val="21"/>
                <w:szCs w:val="21"/>
              </w:rPr>
            </w:pPr>
            <w:r>
              <w:rPr>
                <w:rFonts w:hint="eastAsia" w:cs="宋体"/>
                <w:snapToGrid/>
                <w:sz w:val="21"/>
                <w:szCs w:val="21"/>
              </w:rPr>
              <w:t>商务法律基础</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cs="宋体"/>
                <w:snapToGrid/>
                <w:color w:val="000000"/>
                <w:sz w:val="18"/>
                <w:szCs w:val="18"/>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考试</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4" w:space="0"/>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27</w:t>
            </w:r>
          </w:p>
        </w:tc>
        <w:tc>
          <w:tcPr>
            <w:tcW w:w="23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SEO搜索引擎优化</w:t>
            </w:r>
          </w:p>
        </w:tc>
        <w:tc>
          <w:tcPr>
            <w:tcW w:w="72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single" w:color="auto" w:sz="4" w:space="0"/>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single" w:color="auto" w:sz="4" w:space="0"/>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4" w:space="0"/>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8" w:space="0"/>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28</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消费者行为分析</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108</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6</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8" w:space="0"/>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29</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网站运营和管理</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108</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6</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noWrap/>
            <w:vAlign w:val="center"/>
          </w:tcPr>
          <w:p>
            <w:pPr>
              <w:widowControl/>
              <w:jc w:val="center"/>
              <w:rPr>
                <w:rFonts w:cs="宋体"/>
                <w:snapToGrid/>
                <w:color w:val="000000"/>
                <w:sz w:val="22"/>
                <w:szCs w:val="22"/>
              </w:rPr>
            </w:pPr>
            <w:r>
              <w:rPr>
                <w:rFonts w:hint="eastAsia" w:cs="宋体"/>
                <w:snapToGrid/>
                <w:color w:val="000000"/>
                <w:sz w:val="22"/>
                <w:szCs w:val="22"/>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8" w:space="0"/>
              <w:left w:val="single" w:color="auto" w:sz="4"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电子商务案例分析</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180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10</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499" w:hRule="atLeast"/>
          <w:jc w:val="center"/>
        </w:trPr>
        <w:tc>
          <w:tcPr>
            <w:tcW w:w="1080" w:type="dxa"/>
            <w:vMerge w:val="restart"/>
            <w:tcBorders>
              <w:top w:val="single" w:color="auto" w:sz="8" w:space="0"/>
              <w:left w:val="single" w:color="auto" w:sz="8" w:space="0"/>
              <w:bottom w:val="nil"/>
              <w:right w:val="single" w:color="auto"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实践课程</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31</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电子商务综合实训(一)</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tcBorders>
              <w:top w:val="nil"/>
              <w:left w:val="nil"/>
              <w:bottom w:val="nil"/>
              <w:right w:val="nil"/>
            </w:tcBorders>
            <w:shd w:val="clear" w:color="auto" w:fill="auto"/>
            <w:vAlign w:val="center"/>
          </w:tcPr>
          <w:p>
            <w:pPr>
              <w:widowControl/>
              <w:jc w:val="center"/>
              <w:rPr>
                <w:rFonts w:cs="宋体"/>
                <w:snapToGrid/>
                <w:color w:val="000000"/>
                <w:sz w:val="21"/>
                <w:szCs w:val="21"/>
              </w:rPr>
            </w:pP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noWrap/>
            <w:vAlign w:val="center"/>
          </w:tcPr>
          <w:p>
            <w:pPr>
              <w:widowControl/>
              <w:jc w:val="center"/>
              <w:rPr>
                <w:rFonts w:cs="宋体"/>
                <w:snapToGrid/>
                <w:color w:val="000000"/>
                <w:sz w:val="22"/>
                <w:szCs w:val="22"/>
              </w:rPr>
            </w:pPr>
            <w:r>
              <w:rPr>
                <w:rFonts w:hint="eastAsia" w:cs="宋体"/>
                <w:snapToGrid/>
                <w:color w:val="000000"/>
                <w:sz w:val="22"/>
                <w:szCs w:val="22"/>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8" w:space="0"/>
              <w:left w:val="single" w:color="auto" w:sz="8"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32</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电子商务技能抽查实训</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72</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4</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noWrap/>
            <w:vAlign w:val="center"/>
          </w:tcPr>
          <w:p>
            <w:pPr>
              <w:widowControl/>
              <w:jc w:val="center"/>
              <w:rPr>
                <w:rFonts w:cs="宋体"/>
                <w:snapToGrid/>
                <w:color w:val="000000"/>
                <w:sz w:val="22"/>
                <w:szCs w:val="22"/>
              </w:rPr>
            </w:pPr>
            <w:r>
              <w:rPr>
                <w:rFonts w:hint="eastAsia" w:cs="宋体"/>
                <w:snapToGrid/>
                <w:color w:val="000000"/>
                <w:sz w:val="22"/>
                <w:szCs w:val="22"/>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　</w:t>
            </w:r>
          </w:p>
        </w:tc>
      </w:tr>
      <w:tr>
        <w:tblPrEx>
          <w:tblCellMar>
            <w:top w:w="0" w:type="dxa"/>
            <w:left w:w="108" w:type="dxa"/>
            <w:bottom w:w="0" w:type="dxa"/>
            <w:right w:w="108" w:type="dxa"/>
          </w:tblCellMar>
        </w:tblPrEx>
        <w:trPr>
          <w:trHeight w:val="499" w:hRule="atLeast"/>
          <w:jc w:val="center"/>
        </w:trPr>
        <w:tc>
          <w:tcPr>
            <w:tcW w:w="1080" w:type="dxa"/>
            <w:vMerge w:val="continue"/>
            <w:tcBorders>
              <w:top w:val="single" w:color="auto" w:sz="8" w:space="0"/>
              <w:left w:val="single" w:color="auto" w:sz="8" w:space="0"/>
              <w:bottom w:val="nil"/>
              <w:right w:val="single" w:color="auto" w:sz="8" w:space="0"/>
            </w:tcBorders>
            <w:vAlign w:val="center"/>
          </w:tcPr>
          <w:p>
            <w:pPr>
              <w:widowControl/>
              <w:jc w:val="left"/>
              <w:rPr>
                <w:rFonts w:cs="宋体"/>
                <w:b/>
                <w:bCs/>
                <w:snapToGrid/>
                <w:color w:val="000000"/>
                <w:sz w:val="24"/>
                <w:szCs w:val="24"/>
              </w:rPr>
            </w:pP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33</w:t>
            </w:r>
          </w:p>
        </w:tc>
        <w:tc>
          <w:tcPr>
            <w:tcW w:w="23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电子商务综合实训(二)</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0</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36</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　</w:t>
            </w:r>
          </w:p>
        </w:tc>
        <w:tc>
          <w:tcPr>
            <w:tcW w:w="1080" w:type="dxa"/>
            <w:tcBorders>
              <w:top w:val="nil"/>
              <w:left w:val="nil"/>
              <w:bottom w:val="single" w:color="auto" w:sz="8" w:space="0"/>
              <w:right w:val="nil"/>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2</w:t>
            </w:r>
          </w:p>
        </w:tc>
        <w:tc>
          <w:tcPr>
            <w:tcW w:w="1080"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cs="宋体"/>
                <w:snapToGrid/>
                <w:color w:val="000000"/>
                <w:sz w:val="18"/>
                <w:szCs w:val="18"/>
              </w:rPr>
            </w:pPr>
            <w:r>
              <w:rPr>
                <w:rFonts w:hint="eastAsia" w:cs="宋体"/>
                <w:snapToGrid/>
                <w:color w:val="000000"/>
                <w:sz w:val="18"/>
                <w:szCs w:val="18"/>
              </w:rPr>
              <w:t>　</w:t>
            </w:r>
          </w:p>
        </w:tc>
        <w:tc>
          <w:tcPr>
            <w:tcW w:w="1080" w:type="dxa"/>
            <w:vMerge w:val="continue"/>
            <w:tcBorders>
              <w:top w:val="nil"/>
              <w:left w:val="nil"/>
              <w:bottom w:val="single" w:color="000000" w:sz="8" w:space="0"/>
              <w:right w:val="single" w:color="auto" w:sz="8" w:space="0"/>
            </w:tcBorders>
            <w:vAlign w:val="center"/>
          </w:tcPr>
          <w:p>
            <w:pPr>
              <w:widowControl/>
              <w:jc w:val="left"/>
              <w:rPr>
                <w:rFonts w:cs="宋体"/>
                <w:snapToGrid/>
                <w:color w:val="000000"/>
                <w:sz w:val="18"/>
                <w:szCs w:val="18"/>
              </w:rPr>
            </w:pPr>
          </w:p>
        </w:tc>
        <w:tc>
          <w:tcPr>
            <w:tcW w:w="1080" w:type="dxa"/>
            <w:tcBorders>
              <w:top w:val="nil"/>
              <w:left w:val="nil"/>
              <w:bottom w:val="single" w:color="auto" w:sz="8" w:space="0"/>
              <w:right w:val="single" w:color="auto" w:sz="8" w:space="0"/>
            </w:tcBorders>
            <w:shd w:val="clear" w:color="auto" w:fill="auto"/>
            <w:noWrap/>
            <w:vAlign w:val="center"/>
          </w:tcPr>
          <w:p>
            <w:pPr>
              <w:widowControl/>
              <w:jc w:val="center"/>
              <w:rPr>
                <w:rFonts w:cs="宋体"/>
                <w:snapToGrid/>
                <w:color w:val="000000"/>
                <w:sz w:val="22"/>
                <w:szCs w:val="22"/>
              </w:rPr>
            </w:pPr>
            <w:r>
              <w:rPr>
                <w:rFonts w:hint="eastAsia" w:cs="宋体"/>
                <w:snapToGrid/>
                <w:color w:val="000000"/>
                <w:sz w:val="22"/>
                <w:szCs w:val="22"/>
              </w:rPr>
              <w:t>　</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考查</w:t>
            </w:r>
          </w:p>
        </w:tc>
      </w:tr>
      <w:tr>
        <w:tblPrEx>
          <w:tblCellMar>
            <w:top w:w="0" w:type="dxa"/>
            <w:left w:w="108" w:type="dxa"/>
            <w:bottom w:w="0" w:type="dxa"/>
            <w:right w:w="108" w:type="dxa"/>
          </w:tblCellMar>
        </w:tblPrEx>
        <w:trPr>
          <w:trHeight w:val="300" w:hRule="atLeast"/>
          <w:jc w:val="center"/>
        </w:trPr>
        <w:tc>
          <w:tcPr>
            <w:tcW w:w="4540" w:type="dxa"/>
            <w:gridSpan w:val="3"/>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cs="宋体"/>
                <w:b/>
                <w:bCs/>
                <w:snapToGrid/>
                <w:color w:val="000000"/>
                <w:sz w:val="24"/>
                <w:szCs w:val="24"/>
              </w:rPr>
            </w:pPr>
            <w:r>
              <w:rPr>
                <w:rFonts w:hint="eastAsia" w:cs="宋体"/>
                <w:b/>
                <w:bCs/>
                <w:snapToGrid/>
                <w:color w:val="000000"/>
                <w:sz w:val="24"/>
                <w:szCs w:val="24"/>
              </w:rPr>
              <w:t>合  计</w:t>
            </w:r>
          </w:p>
        </w:tc>
        <w:tc>
          <w:tcPr>
            <w:tcW w:w="72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cs="宋体"/>
                <w:snapToGrid/>
                <w:color w:val="000000"/>
                <w:sz w:val="20"/>
              </w:rPr>
              <w:t>3000</w:t>
            </w:r>
          </w:p>
        </w:tc>
        <w:tc>
          <w:tcPr>
            <w:tcW w:w="6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1422</w:t>
            </w:r>
          </w:p>
        </w:tc>
        <w:tc>
          <w:tcPr>
            <w:tcW w:w="76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0"/>
              </w:rPr>
            </w:pPr>
            <w:r>
              <w:rPr>
                <w:rFonts w:hint="eastAsia" w:cs="宋体"/>
                <w:snapToGrid/>
                <w:color w:val="000000"/>
                <w:sz w:val="20"/>
              </w:rPr>
              <w:t>1278</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1"/>
                <w:szCs w:val="21"/>
              </w:rPr>
            </w:pPr>
            <w:r>
              <w:rPr>
                <w:rFonts w:hint="eastAsia" w:cs="宋体"/>
                <w:snapToGrid/>
                <w:color w:val="000000"/>
                <w:sz w:val="21"/>
                <w:szCs w:val="21"/>
              </w:rPr>
              <w:t>30</w:t>
            </w:r>
          </w:p>
        </w:tc>
        <w:tc>
          <w:tcPr>
            <w:tcW w:w="1080" w:type="dxa"/>
            <w:tcBorders>
              <w:top w:val="nil"/>
              <w:left w:val="nil"/>
              <w:bottom w:val="single" w:color="auto" w:sz="8" w:space="0"/>
              <w:right w:val="single" w:color="auto" w:sz="8" w:space="0"/>
            </w:tcBorders>
            <w:shd w:val="clear" w:color="auto" w:fill="auto"/>
            <w:vAlign w:val="center"/>
          </w:tcPr>
          <w:p>
            <w:pPr>
              <w:widowControl/>
              <w:jc w:val="center"/>
              <w:rPr>
                <w:rFonts w:cs="宋体"/>
                <w:snapToGrid/>
                <w:color w:val="000000"/>
                <w:sz w:val="24"/>
                <w:szCs w:val="24"/>
              </w:rPr>
            </w:pPr>
            <w:r>
              <w:rPr>
                <w:rFonts w:hint="eastAsia" w:cs="宋体"/>
                <w:snapToGrid/>
                <w:color w:val="000000"/>
                <w:sz w:val="24"/>
                <w:szCs w:val="24"/>
              </w:rPr>
              <w:t>3</w:t>
            </w:r>
            <w:r>
              <w:rPr>
                <w:rFonts w:cs="宋体"/>
                <w:snapToGrid/>
                <w:color w:val="000000"/>
                <w:sz w:val="24"/>
                <w:szCs w:val="24"/>
              </w:rPr>
              <w:t>00</w:t>
            </w:r>
            <w:r>
              <w:rPr>
                <w:rFonts w:hint="eastAsia" w:cs="宋体"/>
                <w:snapToGrid/>
                <w:color w:val="000000"/>
                <w:sz w:val="24"/>
                <w:szCs w:val="24"/>
              </w:rPr>
              <w:t>　</w:t>
            </w:r>
          </w:p>
        </w:tc>
        <w:tc>
          <w:tcPr>
            <w:tcW w:w="1080" w:type="dxa"/>
            <w:tcBorders>
              <w:top w:val="nil"/>
              <w:left w:val="nil"/>
              <w:bottom w:val="single" w:color="auto" w:sz="8" w:space="0"/>
              <w:right w:val="nil"/>
            </w:tcBorders>
            <w:shd w:val="clear" w:color="auto" w:fill="auto"/>
            <w:noWrap/>
            <w:vAlign w:val="center"/>
          </w:tcPr>
          <w:p>
            <w:pPr>
              <w:widowControl/>
              <w:jc w:val="left"/>
              <w:rPr>
                <w:rFonts w:cs="宋体"/>
                <w:snapToGrid/>
                <w:color w:val="000000"/>
                <w:sz w:val="22"/>
                <w:szCs w:val="22"/>
              </w:rPr>
            </w:pPr>
            <w:r>
              <w:rPr>
                <w:rFonts w:hint="eastAsia" w:cs="宋体"/>
                <w:snapToGrid/>
                <w:color w:val="000000"/>
                <w:sz w:val="22"/>
                <w:szCs w:val="22"/>
              </w:rPr>
              <w:t>　</w:t>
            </w:r>
          </w:p>
        </w:tc>
        <w:tc>
          <w:tcPr>
            <w:tcW w:w="1080" w:type="dxa"/>
            <w:tcBorders>
              <w:top w:val="nil"/>
              <w:left w:val="nil"/>
              <w:bottom w:val="single" w:color="auto" w:sz="8" w:space="0"/>
              <w:right w:val="single" w:color="auto" w:sz="8" w:space="0"/>
            </w:tcBorders>
            <w:shd w:val="clear" w:color="auto" w:fill="auto"/>
            <w:noWrap/>
            <w:vAlign w:val="center"/>
          </w:tcPr>
          <w:p>
            <w:pPr>
              <w:widowControl/>
              <w:jc w:val="left"/>
              <w:rPr>
                <w:rFonts w:cs="宋体"/>
                <w:snapToGrid/>
                <w:color w:val="000000"/>
                <w:sz w:val="22"/>
                <w:szCs w:val="22"/>
              </w:rPr>
            </w:pPr>
            <w:r>
              <w:rPr>
                <w:rFonts w:hint="eastAsia" w:cs="宋体"/>
                <w:snapToGrid/>
                <w:color w:val="000000"/>
                <w:sz w:val="22"/>
                <w:szCs w:val="22"/>
              </w:rPr>
              <w:t>　</w:t>
            </w:r>
          </w:p>
        </w:tc>
      </w:tr>
    </w:tbl>
    <w:p>
      <w:pPr>
        <w:spacing w:before="114" w:beforeLines="30"/>
        <w:ind w:firstLine="420"/>
        <w:rPr>
          <w:rFonts w:ascii="仿宋" w:hAnsi="仿宋" w:eastAsia="仿宋" w:cs="仿宋_GB2312"/>
          <w:bCs/>
          <w:spacing w:val="-2"/>
          <w:szCs w:val="28"/>
        </w:rPr>
        <w:sectPr>
          <w:pgSz w:w="16838" w:h="11906" w:orient="landscape"/>
          <w:pgMar w:top="1797" w:right="1440" w:bottom="1797" w:left="1440" w:header="851" w:footer="1559" w:gutter="0"/>
          <w:cols w:space="720" w:num="1"/>
          <w:docGrid w:type="lines" w:linePitch="381" w:charSpace="0"/>
        </w:sectPr>
      </w:pPr>
    </w:p>
    <w:p>
      <w:pPr>
        <w:pStyle w:val="13"/>
        <w:tabs>
          <w:tab w:val="center" w:pos="4153"/>
        </w:tabs>
        <w:spacing w:before="0" w:after="0" w:line="600" w:lineRule="exact"/>
        <w:jc w:val="left"/>
        <w:outlineLvl w:val="1"/>
        <w:rPr>
          <w:rFonts w:ascii="宋体" w:hAnsi="宋体" w:cs="宋体"/>
          <w:b w:val="0"/>
          <w:bCs w:val="0"/>
          <w:sz w:val="28"/>
          <w:szCs w:val="28"/>
        </w:rPr>
      </w:pPr>
      <w:bookmarkStart w:id="21" w:name="_Toc76052134"/>
      <w:r>
        <w:rPr>
          <w:rFonts w:hint="eastAsia" w:ascii="宋体" w:hAnsi="宋体" w:cs="宋体"/>
          <w:b w:val="0"/>
          <w:bCs w:val="0"/>
          <w:sz w:val="28"/>
          <w:szCs w:val="28"/>
        </w:rPr>
        <w:t>（二）学时学分分配</w:t>
      </w:r>
      <w:bookmarkEnd w:id="21"/>
    </w:p>
    <w:tbl>
      <w:tblPr>
        <w:tblStyle w:val="15"/>
        <w:tblpPr w:leftFromText="180" w:rightFromText="180" w:horzAnchor="margin" w:tblpXSpec="center" w:tblpY="103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40"/>
        <w:gridCol w:w="1096"/>
        <w:gridCol w:w="1124"/>
        <w:gridCol w:w="1701"/>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980" w:type="dxa"/>
            <w:vMerge w:val="restart"/>
            <w:shd w:val="clear" w:color="auto" w:fill="DBE5F1"/>
            <w:vAlign w:val="center"/>
          </w:tcPr>
          <w:p>
            <w:pPr>
              <w:adjustRightInd w:val="0"/>
              <w:snapToGrid w:val="0"/>
              <w:jc w:val="center"/>
              <w:rPr>
                <w:rFonts w:cs="宋体"/>
                <w:b/>
                <w:bCs/>
                <w:sz w:val="21"/>
                <w:szCs w:val="21"/>
              </w:rPr>
            </w:pPr>
            <w:r>
              <w:rPr>
                <w:rFonts w:hint="eastAsia" w:cs="宋体"/>
                <w:b/>
                <w:bCs/>
                <w:sz w:val="21"/>
                <w:szCs w:val="21"/>
              </w:rPr>
              <w:t>课程类别</w:t>
            </w:r>
          </w:p>
        </w:tc>
        <w:tc>
          <w:tcPr>
            <w:tcW w:w="1040" w:type="dxa"/>
            <w:vMerge w:val="restart"/>
            <w:shd w:val="clear" w:color="auto" w:fill="DBE5F1"/>
            <w:vAlign w:val="center"/>
          </w:tcPr>
          <w:p>
            <w:pPr>
              <w:adjustRightInd w:val="0"/>
              <w:snapToGrid w:val="0"/>
              <w:jc w:val="center"/>
              <w:rPr>
                <w:rFonts w:cs="宋体"/>
                <w:b/>
                <w:bCs/>
                <w:sz w:val="21"/>
                <w:szCs w:val="21"/>
              </w:rPr>
            </w:pPr>
            <w:r>
              <w:rPr>
                <w:rFonts w:hint="eastAsia" w:cs="宋体"/>
                <w:b/>
                <w:bCs/>
                <w:sz w:val="21"/>
                <w:szCs w:val="21"/>
              </w:rPr>
              <w:t>课程</w:t>
            </w:r>
          </w:p>
          <w:p>
            <w:pPr>
              <w:adjustRightInd w:val="0"/>
              <w:snapToGrid w:val="0"/>
              <w:jc w:val="center"/>
              <w:rPr>
                <w:rFonts w:cs="宋体"/>
                <w:b/>
                <w:bCs/>
                <w:sz w:val="21"/>
                <w:szCs w:val="21"/>
              </w:rPr>
            </w:pPr>
            <w:r>
              <w:rPr>
                <w:rFonts w:hint="eastAsia" w:cs="宋体"/>
                <w:b/>
                <w:bCs/>
                <w:sz w:val="21"/>
                <w:szCs w:val="21"/>
              </w:rPr>
              <w:t>门数</w:t>
            </w:r>
          </w:p>
        </w:tc>
        <w:tc>
          <w:tcPr>
            <w:tcW w:w="1096" w:type="dxa"/>
            <w:vMerge w:val="restart"/>
            <w:shd w:val="clear" w:color="auto" w:fill="DBE5F1"/>
            <w:vAlign w:val="center"/>
          </w:tcPr>
          <w:p>
            <w:pPr>
              <w:adjustRightInd w:val="0"/>
              <w:snapToGrid w:val="0"/>
              <w:jc w:val="center"/>
              <w:rPr>
                <w:rFonts w:cs="宋体"/>
                <w:b/>
                <w:bCs/>
                <w:sz w:val="21"/>
                <w:szCs w:val="21"/>
              </w:rPr>
            </w:pPr>
            <w:r>
              <w:rPr>
                <w:rFonts w:hint="eastAsia" w:cs="宋体"/>
                <w:b/>
                <w:bCs/>
                <w:sz w:val="21"/>
                <w:szCs w:val="21"/>
              </w:rPr>
              <w:t>学分小计</w:t>
            </w:r>
          </w:p>
        </w:tc>
        <w:tc>
          <w:tcPr>
            <w:tcW w:w="2825" w:type="dxa"/>
            <w:gridSpan w:val="2"/>
            <w:shd w:val="clear" w:color="auto" w:fill="DBE5F1"/>
            <w:vAlign w:val="center"/>
          </w:tcPr>
          <w:p>
            <w:pPr>
              <w:adjustRightInd w:val="0"/>
              <w:snapToGrid w:val="0"/>
              <w:jc w:val="center"/>
              <w:rPr>
                <w:rFonts w:cs="宋体"/>
                <w:b/>
                <w:bCs/>
                <w:sz w:val="21"/>
                <w:szCs w:val="21"/>
              </w:rPr>
            </w:pPr>
            <w:r>
              <w:rPr>
                <w:rFonts w:hint="eastAsia" w:cs="宋体"/>
                <w:b/>
                <w:bCs/>
                <w:sz w:val="21"/>
                <w:szCs w:val="21"/>
              </w:rPr>
              <w:t>学时分配</w:t>
            </w:r>
          </w:p>
        </w:tc>
        <w:tc>
          <w:tcPr>
            <w:tcW w:w="2119" w:type="dxa"/>
            <w:vMerge w:val="restart"/>
            <w:shd w:val="clear" w:color="auto" w:fill="DBE5F1"/>
            <w:vAlign w:val="center"/>
          </w:tcPr>
          <w:p>
            <w:pPr>
              <w:adjustRightInd w:val="0"/>
              <w:snapToGrid w:val="0"/>
              <w:jc w:val="center"/>
              <w:rPr>
                <w:rFonts w:cs="宋体"/>
                <w:b/>
                <w:sz w:val="21"/>
                <w:szCs w:val="21"/>
              </w:rPr>
            </w:pPr>
            <w:r>
              <w:rPr>
                <w:rFonts w:hint="eastAsia" w:cs="宋体"/>
                <w:b/>
                <w:sz w:val="21"/>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980" w:type="dxa"/>
            <w:vMerge w:val="continue"/>
            <w:shd w:val="clear" w:color="auto" w:fill="DBE5F1"/>
            <w:vAlign w:val="center"/>
          </w:tcPr>
          <w:p>
            <w:pPr>
              <w:adjustRightInd w:val="0"/>
              <w:snapToGrid w:val="0"/>
              <w:jc w:val="center"/>
              <w:rPr>
                <w:rFonts w:cs="宋体"/>
                <w:b/>
                <w:bCs/>
                <w:sz w:val="21"/>
                <w:szCs w:val="21"/>
              </w:rPr>
            </w:pPr>
          </w:p>
        </w:tc>
        <w:tc>
          <w:tcPr>
            <w:tcW w:w="1040" w:type="dxa"/>
            <w:vMerge w:val="continue"/>
            <w:shd w:val="clear" w:color="auto" w:fill="DBE5F1"/>
            <w:vAlign w:val="center"/>
          </w:tcPr>
          <w:p>
            <w:pPr>
              <w:adjustRightInd w:val="0"/>
              <w:snapToGrid w:val="0"/>
              <w:jc w:val="center"/>
              <w:rPr>
                <w:rFonts w:cs="宋体"/>
                <w:b/>
                <w:bCs/>
                <w:sz w:val="21"/>
                <w:szCs w:val="21"/>
              </w:rPr>
            </w:pPr>
          </w:p>
        </w:tc>
        <w:tc>
          <w:tcPr>
            <w:tcW w:w="1096" w:type="dxa"/>
            <w:vMerge w:val="continue"/>
            <w:shd w:val="clear" w:color="auto" w:fill="DBE5F1"/>
            <w:vAlign w:val="center"/>
          </w:tcPr>
          <w:p>
            <w:pPr>
              <w:adjustRightInd w:val="0"/>
              <w:snapToGrid w:val="0"/>
              <w:jc w:val="center"/>
              <w:rPr>
                <w:rFonts w:cs="宋体"/>
                <w:b/>
                <w:bCs/>
                <w:sz w:val="21"/>
                <w:szCs w:val="21"/>
              </w:rPr>
            </w:pPr>
          </w:p>
        </w:tc>
        <w:tc>
          <w:tcPr>
            <w:tcW w:w="1124" w:type="dxa"/>
            <w:shd w:val="clear" w:color="auto" w:fill="DBE5F1"/>
            <w:vAlign w:val="center"/>
          </w:tcPr>
          <w:p>
            <w:pPr>
              <w:adjustRightInd w:val="0"/>
              <w:snapToGrid w:val="0"/>
              <w:jc w:val="center"/>
              <w:rPr>
                <w:rFonts w:cs="宋体"/>
                <w:b/>
                <w:bCs/>
                <w:sz w:val="21"/>
                <w:szCs w:val="21"/>
              </w:rPr>
            </w:pPr>
            <w:r>
              <w:rPr>
                <w:rFonts w:hint="eastAsia" w:cs="宋体"/>
                <w:b/>
                <w:bCs/>
                <w:sz w:val="21"/>
                <w:szCs w:val="21"/>
              </w:rPr>
              <w:t>学时小计</w:t>
            </w:r>
          </w:p>
        </w:tc>
        <w:tc>
          <w:tcPr>
            <w:tcW w:w="1701" w:type="dxa"/>
            <w:shd w:val="clear" w:color="auto" w:fill="DBE5F1"/>
            <w:vAlign w:val="center"/>
          </w:tcPr>
          <w:p>
            <w:pPr>
              <w:adjustRightInd w:val="0"/>
              <w:snapToGrid w:val="0"/>
              <w:jc w:val="center"/>
              <w:rPr>
                <w:rFonts w:cs="宋体"/>
                <w:b/>
                <w:bCs/>
                <w:sz w:val="21"/>
                <w:szCs w:val="21"/>
              </w:rPr>
            </w:pPr>
            <w:r>
              <w:rPr>
                <w:rFonts w:hint="eastAsia" w:cs="宋体"/>
                <w:b/>
                <w:bCs/>
                <w:sz w:val="21"/>
                <w:szCs w:val="21"/>
              </w:rPr>
              <w:t>占总学时比例</w:t>
            </w:r>
          </w:p>
        </w:tc>
        <w:tc>
          <w:tcPr>
            <w:tcW w:w="2119" w:type="dxa"/>
            <w:vMerge w:val="continue"/>
            <w:shd w:val="clear" w:color="auto" w:fill="DBE5F1"/>
            <w:vAlign w:val="center"/>
          </w:tcPr>
          <w:p>
            <w:pPr>
              <w:adjustRightInd w:val="0"/>
              <w:snapToGrid w:val="0"/>
              <w:jc w:val="center"/>
              <w:rPr>
                <w:rFonts w:cs="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1980" w:type="dxa"/>
            <w:vAlign w:val="center"/>
          </w:tcPr>
          <w:p>
            <w:pPr>
              <w:adjustRightInd w:val="0"/>
              <w:snapToGrid w:val="0"/>
              <w:jc w:val="center"/>
              <w:rPr>
                <w:rFonts w:cs="宋体"/>
                <w:sz w:val="21"/>
                <w:szCs w:val="21"/>
              </w:rPr>
            </w:pPr>
            <w:r>
              <w:rPr>
                <w:rFonts w:hint="eastAsia" w:cs="宋体"/>
                <w:sz w:val="21"/>
                <w:szCs w:val="21"/>
              </w:rPr>
              <w:t>公共基础课程</w:t>
            </w:r>
          </w:p>
        </w:tc>
        <w:tc>
          <w:tcPr>
            <w:tcW w:w="1040" w:type="dxa"/>
            <w:vAlign w:val="center"/>
          </w:tcPr>
          <w:p>
            <w:pPr>
              <w:pStyle w:val="85"/>
              <w:rPr>
                <w:rFonts w:ascii="宋体" w:hAnsi="宋体" w:cs="宋体"/>
                <w:szCs w:val="21"/>
              </w:rPr>
            </w:pPr>
            <w:r>
              <w:rPr>
                <w:rFonts w:hint="eastAsia" w:ascii="宋体" w:hAnsi="宋体" w:cs="宋体"/>
                <w:szCs w:val="21"/>
              </w:rPr>
              <w:t>15</w:t>
            </w:r>
          </w:p>
        </w:tc>
        <w:tc>
          <w:tcPr>
            <w:tcW w:w="1096" w:type="dxa"/>
            <w:vAlign w:val="center"/>
          </w:tcPr>
          <w:p>
            <w:pPr>
              <w:pStyle w:val="85"/>
              <w:rPr>
                <w:rFonts w:ascii="宋体" w:hAnsi="宋体" w:cs="宋体"/>
                <w:szCs w:val="21"/>
              </w:rPr>
            </w:pPr>
            <w:r>
              <w:rPr>
                <w:rFonts w:hint="eastAsia" w:ascii="宋体" w:hAnsi="宋体" w:cs="宋体"/>
                <w:szCs w:val="21"/>
              </w:rPr>
              <w:t>58</w:t>
            </w:r>
          </w:p>
        </w:tc>
        <w:tc>
          <w:tcPr>
            <w:tcW w:w="1124" w:type="dxa"/>
            <w:vAlign w:val="center"/>
          </w:tcPr>
          <w:p>
            <w:pPr>
              <w:pStyle w:val="85"/>
              <w:rPr>
                <w:rFonts w:ascii="宋体" w:hAnsi="宋体" w:cs="宋体"/>
                <w:szCs w:val="21"/>
              </w:rPr>
            </w:pPr>
            <w:r>
              <w:rPr>
                <w:rFonts w:hint="eastAsia" w:ascii="宋体" w:hAnsi="宋体" w:cs="宋体"/>
                <w:szCs w:val="21"/>
              </w:rPr>
              <w:t>1296</w:t>
            </w:r>
          </w:p>
        </w:tc>
        <w:tc>
          <w:tcPr>
            <w:tcW w:w="1701" w:type="dxa"/>
            <w:vAlign w:val="center"/>
          </w:tcPr>
          <w:p>
            <w:pPr>
              <w:pStyle w:val="85"/>
              <w:rPr>
                <w:rFonts w:ascii="宋体" w:hAnsi="宋体" w:cs="宋体"/>
                <w:szCs w:val="21"/>
              </w:rPr>
            </w:pPr>
            <w:r>
              <w:rPr>
                <w:rFonts w:hint="eastAsia" w:ascii="宋体" w:hAnsi="宋体" w:cs="宋体"/>
                <w:szCs w:val="21"/>
              </w:rPr>
              <w:t>49%</w:t>
            </w:r>
          </w:p>
        </w:tc>
        <w:tc>
          <w:tcPr>
            <w:tcW w:w="2119" w:type="dxa"/>
            <w:vMerge w:val="restart"/>
            <w:vAlign w:val="center"/>
          </w:tcPr>
          <w:p>
            <w:pPr>
              <w:adjustRightInd w:val="0"/>
              <w:snapToGrid w:val="0"/>
              <w:jc w:val="center"/>
              <w:rPr>
                <w:rFonts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1980" w:type="dxa"/>
            <w:vAlign w:val="center"/>
          </w:tcPr>
          <w:p>
            <w:pPr>
              <w:adjustRightInd w:val="0"/>
              <w:snapToGrid w:val="0"/>
              <w:jc w:val="center"/>
              <w:rPr>
                <w:rFonts w:cs="宋体"/>
                <w:sz w:val="21"/>
                <w:szCs w:val="21"/>
              </w:rPr>
            </w:pPr>
            <w:r>
              <w:rPr>
                <w:rFonts w:hint="eastAsia" w:cs="宋体"/>
                <w:sz w:val="21"/>
                <w:szCs w:val="21"/>
              </w:rPr>
              <w:t>专业（技能）课程</w:t>
            </w:r>
          </w:p>
        </w:tc>
        <w:tc>
          <w:tcPr>
            <w:tcW w:w="1040" w:type="dxa"/>
            <w:vAlign w:val="center"/>
          </w:tcPr>
          <w:p>
            <w:pPr>
              <w:pStyle w:val="85"/>
              <w:rPr>
                <w:rFonts w:ascii="宋体" w:hAnsi="宋体" w:cs="宋体"/>
                <w:szCs w:val="21"/>
              </w:rPr>
            </w:pPr>
            <w:r>
              <w:rPr>
                <w:rFonts w:hint="eastAsia" w:ascii="宋体" w:hAnsi="宋体" w:cs="宋体"/>
                <w:szCs w:val="21"/>
              </w:rPr>
              <w:t>15</w:t>
            </w:r>
          </w:p>
        </w:tc>
        <w:tc>
          <w:tcPr>
            <w:tcW w:w="1096" w:type="dxa"/>
            <w:vAlign w:val="center"/>
          </w:tcPr>
          <w:p>
            <w:pPr>
              <w:pStyle w:val="85"/>
              <w:rPr>
                <w:rFonts w:ascii="宋体" w:hAnsi="宋体" w:cs="宋体"/>
                <w:szCs w:val="21"/>
              </w:rPr>
            </w:pPr>
            <w:r>
              <w:rPr>
                <w:rFonts w:hint="eastAsia" w:ascii="宋体" w:hAnsi="宋体" w:cs="宋体"/>
                <w:szCs w:val="21"/>
              </w:rPr>
              <w:t>69</w:t>
            </w:r>
          </w:p>
        </w:tc>
        <w:tc>
          <w:tcPr>
            <w:tcW w:w="1124" w:type="dxa"/>
            <w:vAlign w:val="center"/>
          </w:tcPr>
          <w:p>
            <w:pPr>
              <w:pStyle w:val="85"/>
              <w:rPr>
                <w:rFonts w:ascii="宋体" w:hAnsi="宋体" w:cs="宋体"/>
                <w:szCs w:val="21"/>
              </w:rPr>
            </w:pPr>
            <w:r>
              <w:rPr>
                <w:rFonts w:hint="eastAsia" w:ascii="宋体" w:hAnsi="宋体" w:cs="宋体"/>
                <w:szCs w:val="21"/>
              </w:rPr>
              <w:t>1242</w:t>
            </w:r>
          </w:p>
        </w:tc>
        <w:tc>
          <w:tcPr>
            <w:tcW w:w="1701" w:type="dxa"/>
            <w:vAlign w:val="center"/>
          </w:tcPr>
          <w:p>
            <w:pPr>
              <w:pStyle w:val="85"/>
              <w:rPr>
                <w:rFonts w:ascii="宋体" w:hAnsi="宋体" w:cs="宋体"/>
                <w:szCs w:val="21"/>
              </w:rPr>
            </w:pPr>
            <w:r>
              <w:rPr>
                <w:rFonts w:hint="eastAsia" w:ascii="宋体" w:hAnsi="宋体" w:cs="宋体"/>
                <w:szCs w:val="21"/>
              </w:rPr>
              <w:t>46%</w:t>
            </w:r>
          </w:p>
        </w:tc>
        <w:tc>
          <w:tcPr>
            <w:tcW w:w="2119" w:type="dxa"/>
            <w:vMerge w:val="continue"/>
            <w:vAlign w:val="center"/>
          </w:tcPr>
          <w:p>
            <w:pPr>
              <w:adjustRightInd w:val="0"/>
              <w:snapToGrid w:val="0"/>
              <w:jc w:val="center"/>
              <w:rPr>
                <w:rFonts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trPr>
        <w:tc>
          <w:tcPr>
            <w:tcW w:w="9060" w:type="dxa"/>
            <w:gridSpan w:val="6"/>
            <w:vAlign w:val="center"/>
          </w:tcPr>
          <w:p>
            <w:pPr>
              <w:pStyle w:val="87"/>
              <w:ind w:firstLine="420"/>
              <w:rPr>
                <w:rFonts w:hint="eastAsia" w:ascii="宋体" w:hAnsi="宋体" w:eastAsia="宋体" w:cs="宋体"/>
                <w:color w:val="FF0000"/>
                <w:sz w:val="21"/>
                <w:lang w:val="en-US" w:eastAsia="zh-CN"/>
              </w:rPr>
            </w:pPr>
            <w:r>
              <w:rPr>
                <w:rFonts w:hint="eastAsia" w:ascii="宋体" w:hAnsi="宋体" w:cs="宋体"/>
                <w:color w:val="auto"/>
                <w:sz w:val="21"/>
              </w:rPr>
              <w:t xml:space="preserve">总学时数为 </w:t>
            </w:r>
            <w:r>
              <w:rPr>
                <w:rFonts w:ascii="宋体" w:hAnsi="宋体" w:cs="宋体"/>
                <w:color w:val="auto"/>
                <w:sz w:val="21"/>
              </w:rPr>
              <w:t>3000</w:t>
            </w:r>
            <w:r>
              <w:rPr>
                <w:rFonts w:hint="eastAsia" w:ascii="宋体" w:hAnsi="宋体" w:cs="宋体"/>
                <w:color w:val="auto"/>
                <w:sz w:val="21"/>
              </w:rPr>
              <w:t>，其中实践性教学学时数为1278，占总学时比例为4</w:t>
            </w:r>
            <w:r>
              <w:rPr>
                <w:rFonts w:ascii="宋体" w:hAnsi="宋体" w:cs="宋体"/>
                <w:color w:val="auto"/>
                <w:sz w:val="21"/>
              </w:rPr>
              <w:t>2</w:t>
            </w:r>
            <w:r>
              <w:rPr>
                <w:rFonts w:hint="eastAsia" w:ascii="宋体" w:hAnsi="宋体" w:cs="宋体"/>
                <w:color w:val="auto"/>
                <w:sz w:val="21"/>
              </w:rPr>
              <w:t xml:space="preserve"> %</w:t>
            </w:r>
            <w:r>
              <w:rPr>
                <w:rFonts w:hint="eastAsia" w:ascii="宋体" w:hAnsi="宋体" w:cs="宋体"/>
                <w:color w:val="auto"/>
                <w:sz w:val="21"/>
                <w:lang w:val="en-US" w:eastAsia="zh-CN"/>
              </w:rPr>
              <w:t>.</w:t>
            </w:r>
          </w:p>
        </w:tc>
      </w:tr>
    </w:tbl>
    <w:p>
      <w:pPr>
        <w:spacing w:line="600" w:lineRule="exact"/>
        <w:ind w:firstLine="640" w:firstLineChars="200"/>
        <w:rPr>
          <w:rFonts w:ascii="黑体" w:hAnsi="黑体" w:eastAsia="黑体" w:cs="黑体"/>
          <w:sz w:val="32"/>
          <w:szCs w:val="32"/>
        </w:rPr>
      </w:pPr>
    </w:p>
    <w:p>
      <w:pPr>
        <w:spacing w:line="600" w:lineRule="exact"/>
        <w:ind w:firstLine="640" w:firstLineChars="200"/>
        <w:rPr>
          <w:rFonts w:ascii="黑体" w:hAnsi="黑体" w:eastAsia="黑体" w:cs="黑体"/>
          <w:sz w:val="32"/>
          <w:szCs w:val="32"/>
        </w:rPr>
        <w:sectPr>
          <w:pgSz w:w="16838" w:h="11906" w:orient="landscape"/>
          <w:pgMar w:top="1797" w:right="1440" w:bottom="1797" w:left="1440" w:header="851" w:footer="1559" w:gutter="0"/>
          <w:cols w:space="720" w:num="1"/>
          <w:docGrid w:type="lines" w:linePitch="381" w:charSpace="0"/>
        </w:sectPr>
      </w:pPr>
    </w:p>
    <w:p>
      <w:pPr>
        <w:spacing w:line="600" w:lineRule="exact"/>
        <w:outlineLvl w:val="0"/>
        <w:rPr>
          <w:rFonts w:ascii="黑体" w:hAnsi="黑体" w:eastAsia="黑体" w:cs="黑体"/>
          <w:sz w:val="32"/>
          <w:szCs w:val="32"/>
        </w:rPr>
      </w:pPr>
      <w:bookmarkStart w:id="22" w:name="_Toc76052135"/>
      <w:r>
        <w:rPr>
          <w:rFonts w:hint="eastAsia" w:ascii="黑体" w:hAnsi="黑体" w:eastAsia="黑体" w:cs="黑体"/>
          <w:sz w:val="32"/>
          <w:szCs w:val="32"/>
        </w:rPr>
        <w:t>八、保障条件</w:t>
      </w:r>
      <w:bookmarkEnd w:id="22"/>
    </w:p>
    <w:p>
      <w:pPr>
        <w:pStyle w:val="13"/>
        <w:tabs>
          <w:tab w:val="center" w:pos="4153"/>
        </w:tabs>
        <w:spacing w:before="0" w:after="0" w:line="600" w:lineRule="exact"/>
        <w:jc w:val="left"/>
        <w:outlineLvl w:val="1"/>
        <w:rPr>
          <w:rFonts w:ascii="宋体" w:hAnsi="宋体" w:cs="宋体"/>
          <w:b w:val="0"/>
          <w:spacing w:val="-2"/>
          <w:sz w:val="28"/>
          <w:szCs w:val="28"/>
        </w:rPr>
      </w:pPr>
      <w:bookmarkStart w:id="23" w:name="_Toc76052136"/>
      <w:r>
        <w:rPr>
          <w:rFonts w:hint="eastAsia" w:ascii="宋体" w:hAnsi="宋体" w:cs="宋体"/>
          <w:b w:val="0"/>
          <w:spacing w:val="-2"/>
          <w:sz w:val="28"/>
          <w:szCs w:val="28"/>
        </w:rPr>
        <w:t>（一）师资队伍</w:t>
      </w:r>
      <w:bookmarkEnd w:id="23"/>
    </w:p>
    <w:p>
      <w:pPr>
        <w:ind w:firstLine="482" w:firstLineChars="200"/>
        <w:jc w:val="center"/>
        <w:rPr>
          <w:rFonts w:cs="宋体"/>
          <w:bCs/>
          <w:sz w:val="24"/>
          <w:szCs w:val="24"/>
        </w:rPr>
      </w:pPr>
      <w:r>
        <w:rPr>
          <w:rFonts w:hint="eastAsia" w:cs="宋体"/>
          <w:b/>
          <w:bCs/>
          <w:sz w:val="24"/>
          <w:szCs w:val="24"/>
        </w:rPr>
        <w:t>表8-1</w:t>
      </w:r>
      <w:r>
        <w:rPr>
          <w:rFonts w:hint="eastAsia" w:cs="宋体"/>
          <w:bCs/>
          <w:sz w:val="24"/>
          <w:szCs w:val="24"/>
        </w:rPr>
        <w:t xml:space="preserve">   教学团队基本要求</w:t>
      </w:r>
    </w:p>
    <w:tbl>
      <w:tblPr>
        <w:tblStyle w:val="15"/>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6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blHeader/>
          <w:jc w:val="center"/>
        </w:trPr>
        <w:tc>
          <w:tcPr>
            <w:tcW w:w="1620" w:type="dxa"/>
            <w:tcBorders>
              <w:bottom w:val="single" w:color="auto" w:sz="4" w:space="0"/>
            </w:tcBorders>
            <w:shd w:val="clear" w:color="auto" w:fill="EAEAEA"/>
            <w:vAlign w:val="center"/>
          </w:tcPr>
          <w:p>
            <w:pPr>
              <w:widowControl/>
              <w:jc w:val="center"/>
              <w:rPr>
                <w:rFonts w:cs="宋体"/>
                <w:b/>
                <w:color w:val="000000"/>
                <w:sz w:val="21"/>
                <w:szCs w:val="21"/>
              </w:rPr>
            </w:pPr>
            <w:r>
              <w:rPr>
                <w:rFonts w:hint="eastAsia" w:cs="宋体"/>
                <w:b/>
                <w:color w:val="000000"/>
                <w:sz w:val="21"/>
                <w:szCs w:val="21"/>
              </w:rPr>
              <w:t>项目</w:t>
            </w:r>
          </w:p>
        </w:tc>
        <w:tc>
          <w:tcPr>
            <w:tcW w:w="6680" w:type="dxa"/>
            <w:shd w:val="clear" w:color="auto" w:fill="EAEAEA"/>
            <w:vAlign w:val="center"/>
          </w:tcPr>
          <w:p>
            <w:pPr>
              <w:widowControl/>
              <w:jc w:val="center"/>
              <w:rPr>
                <w:rFonts w:cs="宋体"/>
                <w:b/>
                <w:color w:val="000000"/>
                <w:sz w:val="21"/>
                <w:szCs w:val="21"/>
              </w:rPr>
            </w:pPr>
            <w:r>
              <w:rPr>
                <w:rFonts w:hint="eastAsia" w:cs="宋体"/>
                <w:b/>
                <w:color w:val="000000"/>
                <w:sz w:val="21"/>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教师总数</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专任教师的生师比不高于25：1（不含公共课教师）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专兼职教师比</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按7：3配备专、兼职教师，兼职教师应主要来自于行业企业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双师素质结构</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教学团队双师素质要求达到80%，</w:t>
            </w:r>
            <w:r>
              <w:rPr>
                <w:rFonts w:hint="eastAsia" w:cs="宋体"/>
                <w:sz w:val="21"/>
                <w:szCs w:val="21"/>
              </w:rPr>
              <w:t>获得职业技能证书的比例达到60%以上，中青年专任教师</w:t>
            </w:r>
            <w:r>
              <w:rPr>
                <w:rFonts w:hint="eastAsia" w:cs="宋体"/>
                <w:color w:val="000000"/>
                <w:sz w:val="21"/>
                <w:szCs w:val="21"/>
              </w:rPr>
              <w:t>近3年必须到企业任职4个月以上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骨干教师</w:t>
            </w:r>
          </w:p>
        </w:tc>
        <w:tc>
          <w:tcPr>
            <w:tcW w:w="6680" w:type="dxa"/>
            <w:shd w:val="clear" w:color="auto" w:fill="auto"/>
          </w:tcPr>
          <w:p>
            <w:pPr>
              <w:widowControl/>
              <w:jc w:val="left"/>
              <w:rPr>
                <w:rFonts w:cs="宋体"/>
                <w:sz w:val="21"/>
                <w:szCs w:val="21"/>
              </w:rPr>
            </w:pPr>
            <w:r>
              <w:rPr>
                <w:rFonts w:hint="eastAsia" w:cs="宋体"/>
                <w:sz w:val="21"/>
                <w:szCs w:val="21"/>
              </w:rPr>
              <w:t>骨干教师占教师总数的25%以上，骨干教师要求能</w:t>
            </w:r>
            <w:r>
              <w:rPr>
                <w:rFonts w:hint="eastAsia" w:cs="宋体"/>
                <w:bCs/>
                <w:sz w:val="21"/>
                <w:szCs w:val="21"/>
              </w:rPr>
              <w:t>主讲2门及以上专业课程，其中至少1门为专业核心课程；至少带1名青年教师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FF0000"/>
                <w:sz w:val="21"/>
                <w:szCs w:val="21"/>
              </w:rPr>
            </w:pPr>
            <w:r>
              <w:rPr>
                <w:rFonts w:hint="eastAsia" w:cs="宋体"/>
                <w:sz w:val="21"/>
                <w:szCs w:val="21"/>
              </w:rPr>
              <w:t>专业（群）带头人</w:t>
            </w:r>
          </w:p>
        </w:tc>
        <w:tc>
          <w:tcPr>
            <w:tcW w:w="6680" w:type="dxa"/>
            <w:shd w:val="clear" w:color="auto" w:fill="auto"/>
          </w:tcPr>
          <w:p>
            <w:pPr>
              <w:widowControl/>
              <w:jc w:val="left"/>
              <w:rPr>
                <w:rFonts w:cs="宋体"/>
                <w:sz w:val="21"/>
                <w:szCs w:val="21"/>
              </w:rPr>
            </w:pPr>
            <w:r>
              <w:rPr>
                <w:rFonts w:hint="eastAsia" w:cs="宋体"/>
                <w:sz w:val="21"/>
                <w:szCs w:val="21"/>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pPr>
              <w:widowControl/>
              <w:jc w:val="left"/>
              <w:rPr>
                <w:rFonts w:cs="宋体"/>
                <w:sz w:val="21"/>
                <w:szCs w:val="21"/>
              </w:rPr>
            </w:pPr>
            <w:r>
              <w:rPr>
                <w:rFonts w:hint="eastAsia" w:cs="宋体"/>
                <w:sz w:val="21"/>
                <w:szCs w:val="21"/>
              </w:rPr>
              <w:t>专业群带头人</w:t>
            </w:r>
            <w:r>
              <w:rPr>
                <w:rFonts w:hint="eastAsia" w:cs="宋体"/>
                <w:bCs/>
                <w:sz w:val="21"/>
                <w:szCs w:val="21"/>
              </w:rPr>
              <w:t>应在省内或行业内具有较大影响，原则上具备正高级职称</w:t>
            </w:r>
            <w:r>
              <w:rPr>
                <w:rFonts w:hint="eastAsia" w:cs="宋体"/>
                <w:sz w:val="21"/>
                <w:szCs w:val="21"/>
              </w:rPr>
              <w:t>并能够牵头取得1项以上省级标志性成果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年龄结构</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老中青教师比为2：4：4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科研要求</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教学团队中的教师至少有一项校级以上的科研课题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教师储备要求</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建立一个与教学团队人数相当的教师库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学历或职称</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任课教师具备本科及以上学历；专任教师中具有硕士学位的教师比例达到70%以上，专任教师职称要求中、高级达到55%，其中高级职称教师不少于30%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从教能力</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具有较强的语言表达能力；具有较丰富的教育教学知识；</w:t>
            </w:r>
            <w:r>
              <w:rPr>
                <w:rFonts w:hint="eastAsia" w:cs="宋体"/>
                <w:sz w:val="21"/>
                <w:szCs w:val="21"/>
              </w:rPr>
              <w:t>具备专业课程的教学能力和实践教学指导能力，</w:t>
            </w:r>
            <w:r>
              <w:rPr>
                <w:rFonts w:hint="eastAsia" w:cs="宋体"/>
                <w:color w:val="000000"/>
                <w:sz w:val="21"/>
                <w:szCs w:val="21"/>
              </w:rPr>
              <w:t>具有开拓创新的精神；能够立足行业企业岗位进行课程开发的能力；</w:t>
            </w:r>
            <w:r>
              <w:rPr>
                <w:rFonts w:hint="eastAsia" w:cs="宋体"/>
                <w:sz w:val="21"/>
                <w:szCs w:val="21"/>
              </w:rPr>
              <w:t>能从事、承担本专业核心课程及相关专业教学任务；</w:t>
            </w:r>
            <w:r>
              <w:rPr>
                <w:rFonts w:hint="eastAsia" w:cs="宋体"/>
                <w:color w:val="000000"/>
                <w:sz w:val="21"/>
                <w:szCs w:val="21"/>
              </w:rPr>
              <w:t>能够将学生的思想道德教育融入到教学全程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cs="宋体"/>
                <w:color w:val="000000"/>
                <w:sz w:val="21"/>
                <w:szCs w:val="21"/>
              </w:rPr>
            </w:pPr>
            <w:r>
              <w:rPr>
                <w:rFonts w:hint="eastAsia" w:cs="宋体"/>
                <w:color w:val="000000"/>
                <w:sz w:val="21"/>
                <w:szCs w:val="21"/>
              </w:rPr>
              <w:t>专业经验</w:t>
            </w:r>
          </w:p>
        </w:tc>
        <w:tc>
          <w:tcPr>
            <w:tcW w:w="6680" w:type="dxa"/>
            <w:shd w:val="clear" w:color="auto" w:fill="auto"/>
          </w:tcPr>
          <w:p>
            <w:pPr>
              <w:widowControl/>
              <w:jc w:val="left"/>
              <w:rPr>
                <w:rFonts w:cs="宋体"/>
                <w:color w:val="000000"/>
                <w:sz w:val="21"/>
                <w:szCs w:val="21"/>
              </w:rPr>
            </w:pPr>
            <w:r>
              <w:rPr>
                <w:rFonts w:hint="eastAsia" w:cs="宋体"/>
                <w:color w:val="000000"/>
                <w:sz w:val="21"/>
                <w:szCs w:val="21"/>
              </w:rPr>
              <w:t>专任教师具有半年以上企业挂职；对行业企业的工作岗位都有较充分的了解；熟悉行业企业工作岗位流程和典型工作任务</w:t>
            </w:r>
          </w:p>
        </w:tc>
      </w:tr>
    </w:tbl>
    <w:p>
      <w:pPr>
        <w:pStyle w:val="13"/>
        <w:tabs>
          <w:tab w:val="center" w:pos="4153"/>
        </w:tabs>
        <w:spacing w:before="0" w:after="0" w:line="600" w:lineRule="exact"/>
        <w:jc w:val="left"/>
        <w:outlineLvl w:val="1"/>
        <w:rPr>
          <w:rFonts w:ascii="宋体" w:hAnsi="宋体" w:cs="宋体"/>
          <w:b w:val="0"/>
          <w:spacing w:val="-2"/>
          <w:sz w:val="28"/>
          <w:szCs w:val="28"/>
        </w:rPr>
      </w:pPr>
      <w:bookmarkStart w:id="24" w:name="_Toc76052137"/>
      <w:r>
        <w:rPr>
          <w:rFonts w:hint="eastAsia" w:ascii="宋体" w:hAnsi="宋体" w:cs="宋体"/>
          <w:b w:val="0"/>
          <w:spacing w:val="-2"/>
          <w:sz w:val="28"/>
          <w:szCs w:val="28"/>
        </w:rPr>
        <w:t>（二）教学实施</w:t>
      </w:r>
      <w:bookmarkEnd w:id="24"/>
    </w:p>
    <w:p>
      <w:pPr>
        <w:spacing w:line="360" w:lineRule="auto"/>
        <w:ind w:firstLine="601"/>
        <w:rPr>
          <w:rFonts w:cs="宋体"/>
          <w:bCs/>
          <w:szCs w:val="28"/>
        </w:rPr>
      </w:pPr>
      <w:r>
        <w:rPr>
          <w:rFonts w:hint="eastAsia" w:cs="宋体"/>
          <w:bCs/>
          <w:szCs w:val="28"/>
        </w:rPr>
        <w:t>依托校企合作，采取校企共建的方式，建立校内、校外生产性实习实训基地和理实一体化教室，满足教学、综合实训和真实项目开发的需要。</w:t>
      </w:r>
    </w:p>
    <w:p>
      <w:pPr>
        <w:spacing w:line="360" w:lineRule="auto"/>
        <w:ind w:firstLine="601"/>
        <w:rPr>
          <w:rFonts w:cs="宋体"/>
          <w:bCs/>
          <w:szCs w:val="28"/>
        </w:rPr>
      </w:pPr>
      <w:r>
        <w:rPr>
          <w:rFonts w:hint="eastAsia" w:cs="宋体"/>
          <w:bCs/>
          <w:szCs w:val="28"/>
        </w:rPr>
        <w:t>1.专业教室基本条件</w:t>
      </w:r>
    </w:p>
    <w:p>
      <w:pPr>
        <w:spacing w:line="360" w:lineRule="auto"/>
        <w:ind w:firstLine="601"/>
        <w:rPr>
          <w:rFonts w:cs="宋体"/>
          <w:bCs/>
          <w:szCs w:val="28"/>
        </w:rPr>
      </w:pPr>
      <w:r>
        <w:rPr>
          <w:rFonts w:hint="eastAsia" w:cs="宋体"/>
          <w:bCs/>
          <w:szCs w:val="28"/>
        </w:rPr>
        <w:t>专业教室一般配备黑(白)板、多媒体计算机、投影设备、音响设备，互联网接入或Wi-Fi环境，并实施网络安全防护措施;安装应急照明装置并保持良好状态，符合紧急疏散要求，标志明显，保持逃生通道畅通无阻。</w:t>
      </w:r>
    </w:p>
    <w:p>
      <w:pPr>
        <w:spacing w:line="360" w:lineRule="auto"/>
        <w:ind w:left="601"/>
        <w:rPr>
          <w:rFonts w:cs="宋体"/>
          <w:bCs/>
          <w:szCs w:val="28"/>
        </w:rPr>
      </w:pPr>
      <w:r>
        <w:rPr>
          <w:rFonts w:hint="eastAsia" w:cs="宋体"/>
          <w:bCs/>
          <w:szCs w:val="28"/>
        </w:rPr>
        <w:t>2.校内实训（基地）应达到的基本要求</w:t>
      </w:r>
    </w:p>
    <w:p>
      <w:pPr>
        <w:spacing w:line="360" w:lineRule="auto"/>
        <w:ind w:firstLine="601"/>
        <w:rPr>
          <w:rFonts w:cs="宋体"/>
          <w:bCs/>
          <w:szCs w:val="28"/>
        </w:rPr>
      </w:pPr>
      <w:r>
        <w:rPr>
          <w:rFonts w:hint="eastAsia" w:cs="宋体"/>
          <w:bCs/>
          <w:szCs w:val="28"/>
        </w:rPr>
        <w:t>实训室建设是高职学生能力培养的最重要环节，而实践课是培养学生能力的最佳途径，电子商务专业的实训室（见表）应能提供真实的实践环境，从而让学生通过实践学习，真正提高学生的技能和实战能力，获得实践动手能力和良好的素质。</w:t>
      </w:r>
    </w:p>
    <w:p>
      <w:pPr>
        <w:spacing w:line="360" w:lineRule="auto"/>
        <w:ind w:firstLine="601"/>
        <w:jc w:val="center"/>
        <w:rPr>
          <w:rFonts w:cs="宋体"/>
          <w:sz w:val="24"/>
          <w:szCs w:val="24"/>
        </w:rPr>
      </w:pPr>
      <w:r>
        <w:rPr>
          <w:rFonts w:hint="eastAsia" w:cs="宋体"/>
          <w:b/>
          <w:sz w:val="24"/>
          <w:szCs w:val="24"/>
        </w:rPr>
        <w:t>表8-2</w:t>
      </w:r>
      <w:r>
        <w:rPr>
          <w:rFonts w:hint="eastAsia" w:cs="宋体"/>
          <w:sz w:val="24"/>
          <w:szCs w:val="24"/>
        </w:rPr>
        <w:t xml:space="preserve"> 校内实训室资源配置表</w:t>
      </w:r>
    </w:p>
    <w:tbl>
      <w:tblPr>
        <w:tblStyle w:val="15"/>
        <w:tblW w:w="8364" w:type="dxa"/>
        <w:tblInd w:w="57" w:type="dxa"/>
        <w:tblLayout w:type="fixed"/>
        <w:tblCellMar>
          <w:top w:w="0" w:type="dxa"/>
          <w:left w:w="57" w:type="dxa"/>
          <w:bottom w:w="0" w:type="dxa"/>
          <w:right w:w="57" w:type="dxa"/>
        </w:tblCellMar>
      </w:tblPr>
      <w:tblGrid>
        <w:gridCol w:w="540"/>
        <w:gridCol w:w="1303"/>
        <w:gridCol w:w="2410"/>
        <w:gridCol w:w="2410"/>
        <w:gridCol w:w="1701"/>
      </w:tblGrid>
      <w:tr>
        <w:tblPrEx>
          <w:tblCellMar>
            <w:top w:w="0" w:type="dxa"/>
            <w:left w:w="57" w:type="dxa"/>
            <w:bottom w:w="0" w:type="dxa"/>
            <w:right w:w="57" w:type="dxa"/>
          </w:tblCellMar>
        </w:tblPrEx>
        <w:trPr>
          <w:trHeight w:val="646" w:hRule="atLeast"/>
          <w:tblHeader/>
        </w:trPr>
        <w:tc>
          <w:tcPr>
            <w:tcW w:w="54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cs="宋体"/>
                <w:b/>
                <w:kern w:val="2"/>
                <w:sz w:val="21"/>
                <w:szCs w:val="21"/>
              </w:rPr>
            </w:pPr>
            <w:r>
              <w:rPr>
                <w:rFonts w:hint="eastAsia" w:cs="宋体"/>
                <w:b/>
                <w:sz w:val="21"/>
                <w:szCs w:val="21"/>
              </w:rPr>
              <w:t>序号</w:t>
            </w:r>
          </w:p>
        </w:tc>
        <w:tc>
          <w:tcPr>
            <w:tcW w:w="130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cs="宋体"/>
                <w:b/>
                <w:kern w:val="2"/>
                <w:sz w:val="21"/>
                <w:szCs w:val="21"/>
              </w:rPr>
            </w:pPr>
            <w:r>
              <w:rPr>
                <w:rFonts w:hint="eastAsia" w:cs="宋体"/>
                <w:b/>
                <w:sz w:val="21"/>
                <w:szCs w:val="21"/>
              </w:rPr>
              <w:t>实训室名称</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cs="宋体"/>
                <w:b/>
                <w:kern w:val="2"/>
                <w:sz w:val="21"/>
                <w:szCs w:val="21"/>
              </w:rPr>
            </w:pPr>
            <w:r>
              <w:rPr>
                <w:rFonts w:hint="eastAsia" w:cs="宋体"/>
                <w:b/>
                <w:sz w:val="21"/>
                <w:szCs w:val="21"/>
              </w:rPr>
              <w:t>主要设备</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cs="宋体"/>
                <w:b/>
                <w:kern w:val="2"/>
                <w:sz w:val="21"/>
                <w:szCs w:val="21"/>
              </w:rPr>
            </w:pPr>
            <w:r>
              <w:rPr>
                <w:rFonts w:hint="eastAsia" w:cs="宋体"/>
                <w:b/>
                <w:sz w:val="21"/>
                <w:szCs w:val="21"/>
              </w:rPr>
              <w:t>主要实训项目</w:t>
            </w:r>
          </w:p>
        </w:tc>
        <w:tc>
          <w:tcPr>
            <w:tcW w:w="1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pPr>
              <w:spacing w:before="114" w:beforeLines="30"/>
              <w:jc w:val="center"/>
              <w:rPr>
                <w:rFonts w:cs="宋体"/>
                <w:b/>
                <w:sz w:val="21"/>
                <w:szCs w:val="21"/>
              </w:rPr>
            </w:pPr>
            <w:r>
              <w:rPr>
                <w:rFonts w:hint="eastAsia" w:cs="宋体"/>
                <w:b/>
                <w:sz w:val="21"/>
                <w:szCs w:val="21"/>
              </w:rPr>
              <w:t>要求</w:t>
            </w:r>
          </w:p>
        </w:tc>
      </w:tr>
      <w:tr>
        <w:tblPrEx>
          <w:tblCellMar>
            <w:top w:w="0" w:type="dxa"/>
            <w:left w:w="57" w:type="dxa"/>
            <w:bottom w:w="0" w:type="dxa"/>
            <w:right w:w="57" w:type="dxa"/>
          </w:tblCellMar>
        </w:tblPrEx>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1</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大数据营销实训室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sz w:val="21"/>
                <w:szCs w:val="21"/>
              </w:rPr>
            </w:pPr>
            <w:r>
              <w:rPr>
                <w:rFonts w:hint="eastAsia" w:cs="宋体"/>
                <w:sz w:val="21"/>
                <w:szCs w:val="21"/>
              </w:rPr>
              <w:t>电脑及配套教学设备，营销实训系统一套，大数据分析系统及数据分析系统</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网络调研、商务网站策划与建设、网络营销推广、移动营销（SNS）、HTML5移动营销、商务数据分析与应用等</w:t>
            </w:r>
          </w:p>
        </w:tc>
        <w:tc>
          <w:tcPr>
            <w:tcW w:w="1701" w:type="dxa"/>
            <w:vMerge w:val="restart"/>
            <w:tcBorders>
              <w:top w:val="single" w:color="auto" w:sz="4" w:space="0"/>
              <w:left w:val="single" w:color="auto" w:sz="4" w:space="0"/>
              <w:bottom w:val="single" w:color="auto" w:sz="4" w:space="0"/>
              <w:right w:val="single" w:color="auto" w:sz="4" w:space="0"/>
            </w:tcBorders>
            <w:vAlign w:val="center"/>
          </w:tcPr>
          <w:p>
            <w:pPr>
              <w:widowControl/>
              <w:spacing w:before="114" w:beforeLines="30"/>
              <w:jc w:val="center"/>
              <w:rPr>
                <w:rFonts w:cs="宋体"/>
                <w:bCs/>
                <w:sz w:val="21"/>
                <w:szCs w:val="21"/>
              </w:rPr>
            </w:pPr>
            <w:r>
              <w:rPr>
                <w:rFonts w:hint="eastAsia" w:cs="宋体"/>
                <w:bCs/>
                <w:sz w:val="21"/>
                <w:szCs w:val="21"/>
              </w:rPr>
              <w:t>生均仪器设备值≥4000元;</w:t>
            </w:r>
          </w:p>
          <w:p>
            <w:pPr>
              <w:spacing w:before="114" w:beforeLines="30"/>
              <w:jc w:val="center"/>
              <w:rPr>
                <w:rFonts w:cs="宋体"/>
                <w:sz w:val="21"/>
                <w:szCs w:val="21"/>
              </w:rPr>
            </w:pPr>
            <w:r>
              <w:rPr>
                <w:rFonts w:hint="eastAsia" w:cs="宋体"/>
                <w:bCs/>
                <w:sz w:val="21"/>
                <w:szCs w:val="21"/>
              </w:rPr>
              <w:t>生均实训场地面积≥5.3M</w:t>
            </w:r>
            <w:r>
              <w:rPr>
                <w:rFonts w:hint="eastAsia" w:cs="宋体"/>
                <w:bCs/>
                <w:sz w:val="21"/>
                <w:szCs w:val="21"/>
                <w:vertAlign w:val="superscript"/>
              </w:rPr>
              <w:t>2</w:t>
            </w:r>
            <w:r>
              <w:rPr>
                <w:rFonts w:hint="eastAsia" w:cs="宋体"/>
                <w:bCs/>
                <w:sz w:val="21"/>
                <w:szCs w:val="21"/>
              </w:rPr>
              <w:t>;</w:t>
            </w:r>
          </w:p>
          <w:p>
            <w:pPr>
              <w:widowControl/>
              <w:spacing w:before="114" w:beforeLines="30"/>
              <w:jc w:val="center"/>
              <w:rPr>
                <w:rFonts w:cs="宋体"/>
                <w:bCs/>
                <w:sz w:val="21"/>
                <w:szCs w:val="21"/>
              </w:rPr>
            </w:pPr>
          </w:p>
          <w:p>
            <w:pPr>
              <w:spacing w:before="114" w:beforeLines="30"/>
              <w:jc w:val="center"/>
              <w:rPr>
                <w:rFonts w:cs="宋体"/>
                <w:sz w:val="21"/>
                <w:szCs w:val="21"/>
              </w:rPr>
            </w:pPr>
          </w:p>
        </w:tc>
      </w:tr>
      <w:tr>
        <w:tblPrEx>
          <w:tblCellMar>
            <w:top w:w="0" w:type="dxa"/>
            <w:left w:w="57" w:type="dxa"/>
            <w:bottom w:w="0" w:type="dxa"/>
            <w:right w:w="57" w:type="dxa"/>
          </w:tblCellMar>
        </w:tblPrEx>
        <w:trPr>
          <w:trHeight w:val="710"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2</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网站（网店）运营实训室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sz w:val="21"/>
                <w:szCs w:val="21"/>
              </w:rPr>
            </w:pPr>
            <w:r>
              <w:rPr>
                <w:rFonts w:hint="eastAsia" w:cs="宋体"/>
                <w:sz w:val="21"/>
                <w:szCs w:val="21"/>
              </w:rPr>
              <w:t>电脑及配套教学设备，电商平台实训系统一套</w:t>
            </w:r>
          </w:p>
          <w:p>
            <w:pPr>
              <w:spacing w:before="114" w:beforeLines="30"/>
              <w:rPr>
                <w:rFonts w:cs="宋体"/>
                <w:kern w:val="2"/>
                <w:sz w:val="21"/>
                <w:szCs w:val="21"/>
              </w:rPr>
            </w:pP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cs="宋体"/>
                <w:kern w:val="2"/>
                <w:sz w:val="21"/>
                <w:szCs w:val="21"/>
              </w:rPr>
            </w:pPr>
            <w:r>
              <w:rPr>
                <w:rFonts w:hint="eastAsia" w:cs="宋体"/>
                <w:sz w:val="21"/>
                <w:szCs w:val="21"/>
              </w:rPr>
              <w:t>店铺开设与装修、数据化运营及管理、移动点子商务运营推广等</w:t>
            </w:r>
          </w:p>
        </w:tc>
        <w:tc>
          <w:tcPr>
            <w:tcW w:w="1701" w:type="dxa"/>
            <w:vMerge w:val="continue"/>
            <w:tcBorders>
              <w:top w:val="single" w:color="auto" w:sz="4" w:space="0"/>
              <w:left w:val="single" w:color="auto" w:sz="4" w:space="0"/>
              <w:bottom w:val="single" w:color="auto" w:sz="4" w:space="0"/>
              <w:right w:val="single" w:color="auto" w:sz="4" w:space="0"/>
            </w:tcBorders>
          </w:tcPr>
          <w:p>
            <w:pPr>
              <w:spacing w:before="114" w:beforeLines="30"/>
              <w:rPr>
                <w:rFonts w:cs="宋体"/>
                <w:sz w:val="21"/>
                <w:szCs w:val="21"/>
              </w:rPr>
            </w:pPr>
          </w:p>
        </w:tc>
      </w:tr>
    </w:tbl>
    <w:p>
      <w:pPr>
        <w:spacing w:line="360" w:lineRule="auto"/>
        <w:ind w:firstLine="601"/>
        <w:rPr>
          <w:rFonts w:ascii="仿宋" w:hAnsi="仿宋" w:eastAsia="仿宋"/>
          <w:szCs w:val="28"/>
        </w:rPr>
      </w:pPr>
    </w:p>
    <w:p>
      <w:pPr>
        <w:spacing w:line="360" w:lineRule="auto"/>
        <w:ind w:firstLine="601"/>
        <w:rPr>
          <w:rFonts w:cs="宋体"/>
          <w:sz w:val="24"/>
          <w:szCs w:val="24"/>
        </w:rPr>
      </w:pPr>
      <w:r>
        <w:rPr>
          <w:rFonts w:hint="eastAsia" w:cs="宋体"/>
          <w:szCs w:val="28"/>
        </w:rPr>
        <w:t>3.校外实训基地</w:t>
      </w:r>
      <w:r>
        <w:rPr>
          <w:rFonts w:hint="eastAsia" w:cs="宋体"/>
          <w:bCs/>
          <w:szCs w:val="28"/>
        </w:rPr>
        <w:t>应达到的基本要求</w:t>
      </w:r>
    </w:p>
    <w:p>
      <w:pPr>
        <w:spacing w:line="480" w:lineRule="exact"/>
        <w:ind w:firstLine="560" w:firstLineChars="200"/>
        <w:rPr>
          <w:rFonts w:cs="宋体"/>
          <w:bCs/>
          <w:szCs w:val="28"/>
        </w:rPr>
      </w:pPr>
      <w:r>
        <w:rPr>
          <w:rFonts w:hint="eastAsia" w:cs="宋体"/>
          <w:bCs/>
          <w:szCs w:val="28"/>
        </w:rPr>
        <w:t>建立稳定的校外实训基地，与3家企业联系，接受本专业见习和教学实习。</w:t>
      </w:r>
    </w:p>
    <w:p>
      <w:pPr>
        <w:spacing w:line="480" w:lineRule="exact"/>
        <w:ind w:firstLine="560" w:firstLineChars="200"/>
        <w:rPr>
          <w:rFonts w:ascii="仿宋" w:hAnsi="仿宋" w:eastAsia="仿宋"/>
          <w:bCs/>
          <w:szCs w:val="28"/>
        </w:rPr>
      </w:pPr>
    </w:p>
    <w:p>
      <w:pPr>
        <w:spacing w:line="480" w:lineRule="exact"/>
        <w:ind w:firstLine="560" w:firstLineChars="200"/>
        <w:rPr>
          <w:rFonts w:ascii="仿宋" w:hAnsi="仿宋" w:eastAsia="仿宋"/>
          <w:bCs/>
          <w:szCs w:val="28"/>
        </w:rPr>
      </w:pPr>
    </w:p>
    <w:p>
      <w:pPr>
        <w:spacing w:line="480" w:lineRule="exact"/>
        <w:ind w:firstLine="482" w:firstLineChars="200"/>
        <w:jc w:val="center"/>
        <w:rPr>
          <w:rFonts w:cs="宋体"/>
          <w:bCs/>
          <w:szCs w:val="28"/>
        </w:rPr>
      </w:pPr>
      <w:r>
        <w:rPr>
          <w:rFonts w:hint="eastAsia" w:cs="宋体"/>
          <w:b/>
          <w:sz w:val="24"/>
          <w:szCs w:val="24"/>
        </w:rPr>
        <w:t>表8-3</w:t>
      </w:r>
      <w:r>
        <w:rPr>
          <w:rFonts w:hint="eastAsia" w:cs="宋体"/>
          <w:sz w:val="24"/>
          <w:szCs w:val="24"/>
        </w:rPr>
        <w:t xml:space="preserve"> 电子商务专业校外实训基地及基本要求</w:t>
      </w:r>
    </w:p>
    <w:tbl>
      <w:tblPr>
        <w:tblStyle w:val="15"/>
        <w:tblW w:w="830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7"/>
        <w:gridCol w:w="1555"/>
        <w:gridCol w:w="1984"/>
        <w:gridCol w:w="2599"/>
        <w:gridCol w:w="159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blHeader/>
          <w:jc w:val="center"/>
        </w:trPr>
        <w:tc>
          <w:tcPr>
            <w:tcW w:w="567" w:type="dxa"/>
            <w:shd w:val="clear" w:color="auto" w:fill="EAEAEA"/>
          </w:tcPr>
          <w:p>
            <w:pPr>
              <w:widowControl/>
              <w:spacing w:before="156" w:after="156"/>
              <w:ind w:left="-140" w:leftChars="-50" w:right="-140" w:rightChars="-50"/>
              <w:jc w:val="center"/>
              <w:rPr>
                <w:rFonts w:cs="宋体"/>
                <w:b/>
                <w:bCs/>
                <w:sz w:val="21"/>
                <w:szCs w:val="21"/>
              </w:rPr>
            </w:pPr>
            <w:r>
              <w:rPr>
                <w:rFonts w:hint="eastAsia" w:cs="宋体"/>
                <w:b/>
                <w:bCs/>
                <w:sz w:val="21"/>
                <w:szCs w:val="21"/>
              </w:rPr>
              <w:t>序号</w:t>
            </w:r>
          </w:p>
        </w:tc>
        <w:tc>
          <w:tcPr>
            <w:tcW w:w="1555" w:type="dxa"/>
            <w:shd w:val="clear" w:color="auto" w:fill="EAEAEA"/>
          </w:tcPr>
          <w:p>
            <w:pPr>
              <w:widowControl/>
              <w:spacing w:before="156" w:after="156"/>
              <w:jc w:val="center"/>
              <w:rPr>
                <w:rFonts w:cs="宋体"/>
                <w:b/>
                <w:bCs/>
                <w:sz w:val="21"/>
                <w:szCs w:val="21"/>
              </w:rPr>
            </w:pPr>
            <w:r>
              <w:rPr>
                <w:rFonts w:hint="eastAsia" w:cs="宋体"/>
                <w:b/>
                <w:bCs/>
                <w:sz w:val="21"/>
                <w:szCs w:val="21"/>
              </w:rPr>
              <w:t>实训基地名称</w:t>
            </w:r>
          </w:p>
        </w:tc>
        <w:tc>
          <w:tcPr>
            <w:tcW w:w="1984" w:type="dxa"/>
            <w:shd w:val="clear" w:color="auto" w:fill="EAEAEA"/>
          </w:tcPr>
          <w:p>
            <w:pPr>
              <w:widowControl/>
              <w:spacing w:before="156" w:after="156"/>
              <w:jc w:val="center"/>
              <w:rPr>
                <w:rFonts w:cs="宋体"/>
                <w:b/>
                <w:bCs/>
                <w:sz w:val="21"/>
                <w:szCs w:val="21"/>
              </w:rPr>
            </w:pPr>
            <w:r>
              <w:rPr>
                <w:rFonts w:hint="eastAsia" w:cs="宋体"/>
                <w:b/>
                <w:bCs/>
                <w:sz w:val="21"/>
                <w:szCs w:val="21"/>
              </w:rPr>
              <w:t>工作（实训）岗位</w:t>
            </w:r>
          </w:p>
        </w:tc>
        <w:tc>
          <w:tcPr>
            <w:tcW w:w="2599" w:type="dxa"/>
            <w:shd w:val="clear" w:color="auto" w:fill="EAEAEA"/>
          </w:tcPr>
          <w:p>
            <w:pPr>
              <w:widowControl/>
              <w:spacing w:before="156" w:after="156"/>
              <w:jc w:val="center"/>
              <w:rPr>
                <w:rFonts w:cs="宋体"/>
                <w:b/>
                <w:bCs/>
                <w:sz w:val="21"/>
                <w:szCs w:val="21"/>
              </w:rPr>
            </w:pPr>
            <w:r>
              <w:rPr>
                <w:rFonts w:hint="eastAsia" w:cs="宋体"/>
                <w:b/>
                <w:bCs/>
                <w:sz w:val="21"/>
                <w:szCs w:val="21"/>
              </w:rPr>
              <w:t>主要实训项目</w:t>
            </w:r>
          </w:p>
        </w:tc>
        <w:tc>
          <w:tcPr>
            <w:tcW w:w="1596" w:type="dxa"/>
            <w:shd w:val="clear" w:color="auto" w:fill="EAEAEA"/>
          </w:tcPr>
          <w:p>
            <w:pPr>
              <w:widowControl/>
              <w:spacing w:before="156" w:after="156"/>
              <w:jc w:val="center"/>
              <w:rPr>
                <w:rFonts w:cs="宋体"/>
                <w:b/>
                <w:bCs/>
                <w:sz w:val="21"/>
                <w:szCs w:val="21"/>
              </w:rPr>
            </w:pPr>
            <w:r>
              <w:rPr>
                <w:rFonts w:hint="eastAsia" w:cs="宋体"/>
                <w:b/>
                <w:bCs/>
                <w:sz w:val="21"/>
                <w:szCs w:val="21"/>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1</w:t>
            </w:r>
          </w:p>
        </w:tc>
        <w:tc>
          <w:tcPr>
            <w:tcW w:w="1555" w:type="dxa"/>
            <w:vAlign w:val="center"/>
          </w:tcPr>
          <w:p>
            <w:pPr>
              <w:spacing w:line="480" w:lineRule="exact"/>
              <w:jc w:val="left"/>
              <w:rPr>
                <w:rFonts w:cs="宋体"/>
                <w:bCs/>
                <w:sz w:val="21"/>
                <w:szCs w:val="21"/>
              </w:rPr>
            </w:pPr>
            <w:r>
              <w:rPr>
                <w:rFonts w:hint="eastAsia" w:cs="宋体"/>
                <w:bCs/>
                <w:sz w:val="21"/>
                <w:szCs w:val="21"/>
              </w:rPr>
              <w:t>湖南茶艺集团实训基地</w:t>
            </w:r>
          </w:p>
        </w:tc>
        <w:tc>
          <w:tcPr>
            <w:tcW w:w="1984" w:type="dxa"/>
          </w:tcPr>
          <w:p>
            <w:pPr>
              <w:widowControl/>
              <w:spacing w:before="156" w:after="156"/>
              <w:jc w:val="center"/>
              <w:rPr>
                <w:rFonts w:cs="宋体"/>
                <w:bCs/>
                <w:sz w:val="21"/>
                <w:szCs w:val="21"/>
              </w:rPr>
            </w:pPr>
            <w:r>
              <w:rPr>
                <w:rFonts w:hint="eastAsia" w:cs="宋体"/>
                <w:bCs/>
                <w:sz w:val="21"/>
                <w:szCs w:val="21"/>
              </w:rPr>
              <w:t>网店客服、网络推广专员、美工设计师</w:t>
            </w:r>
          </w:p>
        </w:tc>
        <w:tc>
          <w:tcPr>
            <w:tcW w:w="2599" w:type="dxa"/>
          </w:tcPr>
          <w:p>
            <w:pPr>
              <w:widowControl/>
              <w:spacing w:before="156" w:after="156"/>
              <w:jc w:val="center"/>
              <w:rPr>
                <w:rFonts w:cs="宋体"/>
                <w:bCs/>
                <w:sz w:val="21"/>
                <w:szCs w:val="21"/>
              </w:rPr>
            </w:pPr>
            <w:r>
              <w:rPr>
                <w:rFonts w:hint="eastAsia" w:cs="宋体"/>
                <w:bCs/>
                <w:sz w:val="21"/>
                <w:szCs w:val="21"/>
              </w:rPr>
              <w:t>网店客服、网络推广实训</w:t>
            </w:r>
          </w:p>
        </w:tc>
        <w:tc>
          <w:tcPr>
            <w:tcW w:w="1596" w:type="dxa"/>
            <w:vMerge w:val="restart"/>
            <w:vAlign w:val="center"/>
          </w:tcPr>
          <w:p>
            <w:pPr>
              <w:widowControl/>
              <w:spacing w:before="156" w:after="156" w:line="240" w:lineRule="exact"/>
              <w:rPr>
                <w:rFonts w:cs="宋体"/>
                <w:bCs/>
                <w:sz w:val="21"/>
                <w:szCs w:val="21"/>
              </w:rPr>
            </w:pPr>
            <w:r>
              <w:rPr>
                <w:rFonts w:hint="eastAsia" w:cs="宋体"/>
                <w:bCs/>
                <w:sz w:val="21"/>
                <w:szCs w:val="21"/>
              </w:rPr>
              <w:t>每个专业至少建立5个及以上有一定规模、每年至少能接受10名以上学生顶岗实习的校外实训基地；每个专业群有深度合作企业6-10家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2</w:t>
            </w:r>
          </w:p>
        </w:tc>
        <w:tc>
          <w:tcPr>
            <w:tcW w:w="1555" w:type="dxa"/>
            <w:vAlign w:val="center"/>
          </w:tcPr>
          <w:p>
            <w:pPr>
              <w:widowControl/>
              <w:spacing w:before="156" w:after="156"/>
              <w:jc w:val="center"/>
              <w:rPr>
                <w:rFonts w:cs="宋体"/>
                <w:bCs/>
                <w:sz w:val="21"/>
                <w:szCs w:val="21"/>
              </w:rPr>
            </w:pPr>
            <w:r>
              <w:rPr>
                <w:rFonts w:hint="eastAsia" w:cs="宋体"/>
                <w:bCs/>
                <w:sz w:val="21"/>
                <w:szCs w:val="21"/>
              </w:rPr>
              <w:t>湖南嘉德教育科技有限公司实训基地</w:t>
            </w:r>
          </w:p>
        </w:tc>
        <w:tc>
          <w:tcPr>
            <w:tcW w:w="1984" w:type="dxa"/>
          </w:tcPr>
          <w:p>
            <w:pPr>
              <w:widowControl/>
              <w:spacing w:before="156" w:after="156"/>
              <w:jc w:val="center"/>
              <w:rPr>
                <w:rFonts w:cs="宋体"/>
                <w:bCs/>
                <w:sz w:val="21"/>
                <w:szCs w:val="21"/>
              </w:rPr>
            </w:pPr>
            <w:r>
              <w:rPr>
                <w:rFonts w:hint="eastAsia" w:cs="宋体"/>
                <w:bCs/>
                <w:sz w:val="21"/>
                <w:szCs w:val="21"/>
              </w:rPr>
              <w:t>跨境电子商务专员、网店运营专员、网络推广专员</w:t>
            </w:r>
          </w:p>
        </w:tc>
        <w:tc>
          <w:tcPr>
            <w:tcW w:w="2599" w:type="dxa"/>
          </w:tcPr>
          <w:p>
            <w:pPr>
              <w:widowControl/>
              <w:spacing w:before="156" w:after="156"/>
              <w:jc w:val="center"/>
              <w:rPr>
                <w:rFonts w:cs="宋体"/>
                <w:bCs/>
                <w:sz w:val="21"/>
                <w:szCs w:val="21"/>
              </w:rPr>
            </w:pPr>
            <w:r>
              <w:rPr>
                <w:rFonts w:hint="eastAsia" w:cs="宋体"/>
                <w:bCs/>
                <w:sz w:val="21"/>
                <w:szCs w:val="21"/>
              </w:rPr>
              <w:t>阿里巴巴国际站平台店铺建设与营销、国际贸易、产品管理、数据分析、物流管理等</w:t>
            </w:r>
          </w:p>
        </w:tc>
        <w:tc>
          <w:tcPr>
            <w:tcW w:w="1596" w:type="dxa"/>
            <w:vMerge w:val="continue"/>
          </w:tcPr>
          <w:p>
            <w:pPr>
              <w:widowControl/>
              <w:spacing w:before="156" w:after="156"/>
              <w:jc w:val="center"/>
              <w:rPr>
                <w:rFonts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3</w:t>
            </w:r>
          </w:p>
        </w:tc>
        <w:tc>
          <w:tcPr>
            <w:tcW w:w="1555" w:type="dxa"/>
            <w:vAlign w:val="center"/>
          </w:tcPr>
          <w:p>
            <w:pPr>
              <w:widowControl/>
              <w:spacing w:before="156" w:after="156"/>
              <w:jc w:val="center"/>
              <w:rPr>
                <w:rFonts w:cs="宋体"/>
                <w:bCs/>
                <w:sz w:val="21"/>
                <w:szCs w:val="21"/>
              </w:rPr>
            </w:pPr>
            <w:r>
              <w:rPr>
                <w:rFonts w:hint="eastAsia" w:cs="宋体"/>
                <w:bCs/>
                <w:sz w:val="21"/>
                <w:szCs w:val="21"/>
              </w:rPr>
              <w:t>湖南佳宜企业管理有限公司实训基地</w:t>
            </w:r>
          </w:p>
        </w:tc>
        <w:tc>
          <w:tcPr>
            <w:tcW w:w="1984" w:type="dxa"/>
          </w:tcPr>
          <w:p>
            <w:pPr>
              <w:widowControl/>
              <w:spacing w:before="156" w:after="156"/>
              <w:jc w:val="center"/>
              <w:rPr>
                <w:rFonts w:cs="宋体"/>
                <w:bCs/>
                <w:sz w:val="21"/>
                <w:szCs w:val="21"/>
              </w:rPr>
            </w:pPr>
            <w:r>
              <w:rPr>
                <w:rFonts w:hint="eastAsia" w:cs="宋体"/>
                <w:bCs/>
                <w:sz w:val="21"/>
                <w:szCs w:val="21"/>
              </w:rPr>
              <w:t>网络信息编辑专员、美工设计师、网路客服</w:t>
            </w:r>
          </w:p>
        </w:tc>
        <w:tc>
          <w:tcPr>
            <w:tcW w:w="2599" w:type="dxa"/>
          </w:tcPr>
          <w:p>
            <w:pPr>
              <w:widowControl/>
              <w:spacing w:before="156" w:after="156"/>
              <w:jc w:val="center"/>
              <w:rPr>
                <w:rFonts w:cs="宋体"/>
                <w:bCs/>
                <w:sz w:val="21"/>
                <w:szCs w:val="21"/>
              </w:rPr>
            </w:pPr>
            <w:r>
              <w:rPr>
                <w:rFonts w:hint="eastAsia" w:cs="宋体"/>
                <w:bCs/>
                <w:sz w:val="21"/>
                <w:szCs w:val="21"/>
              </w:rPr>
              <w:t>商品采购、网店搭建、网店推广、电商贸易节、客服服务等</w:t>
            </w:r>
          </w:p>
        </w:tc>
        <w:tc>
          <w:tcPr>
            <w:tcW w:w="1596" w:type="dxa"/>
            <w:vMerge w:val="continue"/>
          </w:tcPr>
          <w:p>
            <w:pPr>
              <w:widowControl/>
              <w:spacing w:before="156" w:after="156"/>
              <w:jc w:val="center"/>
              <w:rPr>
                <w:rFonts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4</w:t>
            </w:r>
          </w:p>
        </w:tc>
        <w:tc>
          <w:tcPr>
            <w:tcW w:w="1555" w:type="dxa"/>
          </w:tcPr>
          <w:p>
            <w:pPr>
              <w:widowControl/>
              <w:spacing w:before="156" w:after="156"/>
              <w:jc w:val="center"/>
              <w:rPr>
                <w:rFonts w:cs="宋体"/>
                <w:bCs/>
                <w:sz w:val="21"/>
                <w:szCs w:val="21"/>
              </w:rPr>
            </w:pPr>
            <w:r>
              <w:rPr>
                <w:rFonts w:hint="eastAsia" w:cs="宋体"/>
                <w:bCs/>
                <w:sz w:val="21"/>
                <w:szCs w:val="21"/>
              </w:rPr>
              <w:t>杭州嘉动教育咨询有限公司实训基地</w:t>
            </w:r>
          </w:p>
        </w:tc>
        <w:tc>
          <w:tcPr>
            <w:tcW w:w="1984" w:type="dxa"/>
          </w:tcPr>
          <w:p>
            <w:pPr>
              <w:widowControl/>
              <w:spacing w:before="156" w:after="156"/>
              <w:jc w:val="center"/>
              <w:rPr>
                <w:rFonts w:cs="宋体"/>
                <w:bCs/>
                <w:sz w:val="21"/>
                <w:szCs w:val="21"/>
              </w:rPr>
            </w:pPr>
            <w:r>
              <w:rPr>
                <w:rFonts w:hint="eastAsia" w:cs="宋体"/>
                <w:bCs/>
                <w:sz w:val="21"/>
                <w:szCs w:val="21"/>
              </w:rPr>
              <w:t>企业网站运营推广专员</w:t>
            </w:r>
          </w:p>
        </w:tc>
        <w:tc>
          <w:tcPr>
            <w:tcW w:w="2599" w:type="dxa"/>
          </w:tcPr>
          <w:p>
            <w:pPr>
              <w:widowControl/>
              <w:spacing w:before="156" w:after="156"/>
              <w:jc w:val="center"/>
              <w:rPr>
                <w:rFonts w:cs="宋体"/>
                <w:bCs/>
                <w:sz w:val="21"/>
                <w:szCs w:val="21"/>
              </w:rPr>
            </w:pPr>
            <w:r>
              <w:rPr>
                <w:rFonts w:hint="eastAsia" w:cs="宋体"/>
                <w:bCs/>
                <w:sz w:val="21"/>
                <w:szCs w:val="21"/>
              </w:rPr>
              <w:t>网络数据分析与运用、店铺开设、网站运营维护与推广</w:t>
            </w:r>
          </w:p>
        </w:tc>
        <w:tc>
          <w:tcPr>
            <w:tcW w:w="1596" w:type="dxa"/>
            <w:vMerge w:val="continue"/>
          </w:tcPr>
          <w:p>
            <w:pPr>
              <w:widowControl/>
              <w:spacing w:before="156" w:after="156"/>
              <w:jc w:val="center"/>
              <w:rPr>
                <w:rFonts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5</w:t>
            </w:r>
          </w:p>
        </w:tc>
        <w:tc>
          <w:tcPr>
            <w:tcW w:w="1555" w:type="dxa"/>
          </w:tcPr>
          <w:p>
            <w:pPr>
              <w:widowControl/>
              <w:spacing w:before="156" w:after="156"/>
              <w:jc w:val="center"/>
              <w:rPr>
                <w:rFonts w:cs="宋体"/>
                <w:bCs/>
                <w:sz w:val="21"/>
                <w:szCs w:val="21"/>
              </w:rPr>
            </w:pPr>
            <w:r>
              <w:rPr>
                <w:rFonts w:hint="eastAsia" w:cs="宋体"/>
                <w:bCs/>
                <w:sz w:val="21"/>
                <w:szCs w:val="21"/>
              </w:rPr>
              <w:t>湖南白宜云商科技有限公司实训基地</w:t>
            </w:r>
          </w:p>
        </w:tc>
        <w:tc>
          <w:tcPr>
            <w:tcW w:w="1984" w:type="dxa"/>
          </w:tcPr>
          <w:p>
            <w:pPr>
              <w:widowControl/>
              <w:spacing w:before="156" w:after="156"/>
              <w:jc w:val="center"/>
              <w:rPr>
                <w:rFonts w:cs="宋体"/>
                <w:bCs/>
                <w:sz w:val="21"/>
                <w:szCs w:val="21"/>
              </w:rPr>
            </w:pPr>
            <w:r>
              <w:rPr>
                <w:rFonts w:hint="eastAsia" w:cs="宋体"/>
                <w:bCs/>
                <w:sz w:val="21"/>
                <w:szCs w:val="21"/>
              </w:rPr>
              <w:t>网站（店铺）运营推广专员、网店客服、网络运营专员</w:t>
            </w:r>
          </w:p>
        </w:tc>
        <w:tc>
          <w:tcPr>
            <w:tcW w:w="2599" w:type="dxa"/>
          </w:tcPr>
          <w:p>
            <w:pPr>
              <w:widowControl/>
              <w:spacing w:before="156" w:after="156"/>
              <w:jc w:val="center"/>
              <w:rPr>
                <w:rFonts w:cs="宋体"/>
                <w:bCs/>
                <w:sz w:val="21"/>
                <w:szCs w:val="21"/>
              </w:rPr>
            </w:pPr>
            <w:r>
              <w:rPr>
                <w:rFonts w:hint="eastAsia" w:cs="宋体"/>
                <w:bCs/>
                <w:sz w:val="21"/>
                <w:szCs w:val="21"/>
              </w:rPr>
              <w:t>网商平台运营规划认知、网店注册与认证审核、商铺开设与基本设置、网（站）店营销推广管理</w:t>
            </w:r>
          </w:p>
        </w:tc>
        <w:tc>
          <w:tcPr>
            <w:tcW w:w="1596" w:type="dxa"/>
            <w:vMerge w:val="continue"/>
          </w:tcPr>
          <w:p>
            <w:pPr>
              <w:widowControl/>
              <w:spacing w:before="156" w:after="156"/>
              <w:jc w:val="center"/>
              <w:rPr>
                <w:rFonts w:cs="宋体"/>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cs="宋体"/>
                <w:bCs/>
                <w:sz w:val="21"/>
                <w:szCs w:val="21"/>
              </w:rPr>
            </w:pPr>
            <w:r>
              <w:rPr>
                <w:rFonts w:hint="eastAsia" w:cs="宋体"/>
                <w:bCs/>
                <w:sz w:val="21"/>
                <w:szCs w:val="21"/>
              </w:rPr>
              <w:t>6</w:t>
            </w:r>
          </w:p>
        </w:tc>
        <w:tc>
          <w:tcPr>
            <w:tcW w:w="1555" w:type="dxa"/>
          </w:tcPr>
          <w:p>
            <w:pPr>
              <w:widowControl/>
              <w:spacing w:before="156" w:after="156"/>
              <w:jc w:val="center"/>
              <w:rPr>
                <w:rFonts w:cs="宋体"/>
                <w:bCs/>
                <w:sz w:val="21"/>
                <w:szCs w:val="21"/>
              </w:rPr>
            </w:pPr>
            <w:r>
              <w:rPr>
                <w:rFonts w:hint="eastAsia" w:cs="宋体"/>
                <w:bCs/>
                <w:sz w:val="21"/>
                <w:szCs w:val="21"/>
              </w:rPr>
              <w:t>湖南电洋信息科技有限公司实训基地</w:t>
            </w:r>
          </w:p>
        </w:tc>
        <w:tc>
          <w:tcPr>
            <w:tcW w:w="1984" w:type="dxa"/>
          </w:tcPr>
          <w:p>
            <w:pPr>
              <w:widowControl/>
              <w:spacing w:before="156" w:after="156"/>
              <w:jc w:val="center"/>
              <w:rPr>
                <w:rFonts w:cs="宋体"/>
                <w:sz w:val="21"/>
                <w:szCs w:val="21"/>
              </w:rPr>
            </w:pPr>
            <w:r>
              <w:rPr>
                <w:rFonts w:hint="eastAsia" w:cs="宋体"/>
                <w:sz w:val="21"/>
                <w:szCs w:val="21"/>
              </w:rPr>
              <w:t>网店客服、美工设计师</w:t>
            </w:r>
          </w:p>
        </w:tc>
        <w:tc>
          <w:tcPr>
            <w:tcW w:w="2599" w:type="dxa"/>
          </w:tcPr>
          <w:p>
            <w:pPr>
              <w:widowControl/>
              <w:spacing w:before="156" w:after="156"/>
              <w:jc w:val="center"/>
              <w:rPr>
                <w:rFonts w:cs="宋体"/>
                <w:color w:val="000000"/>
                <w:sz w:val="21"/>
                <w:szCs w:val="21"/>
              </w:rPr>
            </w:pPr>
            <w:r>
              <w:rPr>
                <w:rFonts w:hint="eastAsia" w:cs="宋体"/>
                <w:color w:val="000000"/>
                <w:sz w:val="21"/>
                <w:szCs w:val="21"/>
              </w:rPr>
              <w:t>客服实训</w:t>
            </w:r>
          </w:p>
        </w:tc>
        <w:tc>
          <w:tcPr>
            <w:tcW w:w="1596" w:type="dxa"/>
          </w:tcPr>
          <w:p>
            <w:pPr>
              <w:widowControl/>
              <w:spacing w:before="156" w:after="156"/>
              <w:jc w:val="center"/>
              <w:rPr>
                <w:rFonts w:cs="宋体"/>
                <w:bCs/>
                <w:sz w:val="21"/>
                <w:szCs w:val="21"/>
              </w:rPr>
            </w:pPr>
          </w:p>
        </w:tc>
      </w:tr>
    </w:tbl>
    <w:p>
      <w:pPr>
        <w:spacing w:line="480" w:lineRule="exact"/>
        <w:ind w:firstLine="480" w:firstLineChars="200"/>
        <w:rPr>
          <w:sz w:val="24"/>
        </w:rPr>
      </w:pPr>
    </w:p>
    <w:p>
      <w:pPr>
        <w:pStyle w:val="13"/>
        <w:tabs>
          <w:tab w:val="center" w:pos="4153"/>
        </w:tabs>
        <w:spacing w:before="0" w:after="0" w:line="600" w:lineRule="exact"/>
        <w:jc w:val="left"/>
        <w:outlineLvl w:val="1"/>
        <w:rPr>
          <w:rFonts w:ascii="宋体" w:hAnsi="宋体" w:cs="宋体"/>
          <w:b w:val="0"/>
          <w:spacing w:val="-2"/>
          <w:sz w:val="28"/>
          <w:szCs w:val="28"/>
        </w:rPr>
      </w:pPr>
      <w:bookmarkStart w:id="25" w:name="_Toc76052138"/>
      <w:r>
        <w:rPr>
          <w:rFonts w:hint="eastAsia" w:ascii="宋体" w:hAnsi="宋体" w:cs="宋体"/>
          <w:b w:val="0"/>
          <w:spacing w:val="-2"/>
          <w:sz w:val="28"/>
          <w:szCs w:val="28"/>
        </w:rPr>
        <w:t>（三）教学资源</w:t>
      </w:r>
      <w:bookmarkEnd w:id="25"/>
    </w:p>
    <w:p>
      <w:pPr>
        <w:spacing w:line="360" w:lineRule="auto"/>
        <w:ind w:firstLine="601"/>
        <w:rPr>
          <w:rFonts w:cs="宋体"/>
          <w:spacing w:val="-2"/>
          <w:szCs w:val="28"/>
        </w:rPr>
      </w:pPr>
      <w:r>
        <w:rPr>
          <w:rFonts w:hint="eastAsia" w:cs="宋体"/>
          <w:spacing w:val="-2"/>
          <w:szCs w:val="28"/>
        </w:rPr>
        <w:t>主要包括能够满足学生专业学习、教师专业教学研究和教学实施需要的教材、图书及数字资源等。</w:t>
      </w:r>
    </w:p>
    <w:p>
      <w:pPr>
        <w:spacing w:line="360" w:lineRule="auto"/>
        <w:ind w:firstLine="601"/>
        <w:rPr>
          <w:rFonts w:cs="宋体"/>
          <w:spacing w:val="-2"/>
          <w:szCs w:val="28"/>
        </w:rPr>
      </w:pPr>
      <w:r>
        <w:rPr>
          <w:rFonts w:hint="eastAsia" w:cs="宋体"/>
          <w:spacing w:val="-2"/>
          <w:szCs w:val="28"/>
        </w:rPr>
        <w:t>1.教材</w:t>
      </w:r>
    </w:p>
    <w:p>
      <w:pPr>
        <w:spacing w:line="360" w:lineRule="auto"/>
        <w:ind w:firstLine="601"/>
        <w:rPr>
          <w:rFonts w:cs="宋体"/>
          <w:spacing w:val="-2"/>
          <w:szCs w:val="28"/>
        </w:rPr>
      </w:pPr>
      <w:r>
        <w:rPr>
          <w:rFonts w:hint="eastAsia" w:cs="宋体"/>
          <w:spacing w:val="-2"/>
          <w:szCs w:val="28"/>
        </w:rPr>
        <w:t>教材选用基本要求：专业课、专业选修课教材建议选用高职高专教材，优先选用职业教育国家规划教材。建议不选用本科教材，鼓励与行业企业合作开发特色鲜明的专业课校本教材。</w:t>
      </w:r>
    </w:p>
    <w:p>
      <w:pPr>
        <w:spacing w:line="360" w:lineRule="auto"/>
        <w:ind w:firstLine="601"/>
        <w:rPr>
          <w:rFonts w:cs="宋体"/>
          <w:color w:val="000000" w:themeColor="text1"/>
          <w:spacing w:val="-2"/>
          <w:szCs w:val="28"/>
          <w14:textFill>
            <w14:solidFill>
              <w14:schemeClr w14:val="tx1"/>
            </w14:solidFill>
          </w14:textFill>
        </w:rPr>
      </w:pPr>
      <w:r>
        <w:rPr>
          <w:rFonts w:hint="eastAsia" w:cs="宋体"/>
          <w:color w:val="000000" w:themeColor="text1"/>
          <w:spacing w:val="-2"/>
          <w:szCs w:val="28"/>
          <w14:textFill>
            <w14:solidFill>
              <w14:schemeClr w14:val="tx1"/>
            </w14:solidFill>
          </w14:textFill>
        </w:rPr>
        <w:t>2.图书</w:t>
      </w:r>
    </w:p>
    <w:p>
      <w:pPr>
        <w:spacing w:line="360" w:lineRule="auto"/>
        <w:ind w:firstLine="601"/>
        <w:rPr>
          <w:rFonts w:cs="宋体"/>
          <w:spacing w:val="-2"/>
          <w:szCs w:val="28"/>
        </w:rPr>
      </w:pPr>
      <w:r>
        <w:rPr>
          <w:rFonts w:hint="eastAsia" w:cs="宋体"/>
          <w:spacing w:val="-2"/>
          <w:szCs w:val="28"/>
        </w:rPr>
        <w:t>学校图书馆配备有关基本要求：学校图书馆应有计算机网络等有关本专业的课程教材、培训教材等图书；应有网络安全、网络工程、云计算、大数据、物联网等相关专业的图书；应有国内外计算机类的图书资料。</w:t>
      </w:r>
    </w:p>
    <w:p>
      <w:pPr>
        <w:spacing w:line="360" w:lineRule="auto"/>
        <w:ind w:firstLine="601"/>
        <w:rPr>
          <w:rFonts w:cs="宋体"/>
          <w:spacing w:val="-2"/>
          <w:szCs w:val="28"/>
        </w:rPr>
      </w:pPr>
      <w:r>
        <w:rPr>
          <w:rFonts w:hint="eastAsia" w:cs="宋体"/>
          <w:spacing w:val="-2"/>
          <w:szCs w:val="28"/>
        </w:rPr>
        <w:t>图书馆应订有计算机网络、计算机网络工程、大数据、云计算等多种相关专业的报纸、杂志和学术期刊。</w:t>
      </w:r>
    </w:p>
    <w:p>
      <w:pPr>
        <w:spacing w:line="360" w:lineRule="auto"/>
        <w:ind w:firstLine="601"/>
        <w:rPr>
          <w:rFonts w:cs="宋体"/>
          <w:spacing w:val="-2"/>
          <w:szCs w:val="28"/>
        </w:rPr>
      </w:pPr>
      <w:r>
        <w:rPr>
          <w:rFonts w:hint="eastAsia" w:cs="宋体"/>
          <w:spacing w:val="-2"/>
          <w:szCs w:val="28"/>
        </w:rPr>
        <w:t>3.数字资源</w:t>
      </w:r>
    </w:p>
    <w:p>
      <w:pPr>
        <w:spacing w:line="360" w:lineRule="auto"/>
        <w:ind w:firstLine="601"/>
        <w:rPr>
          <w:rFonts w:cs="宋体"/>
          <w:spacing w:val="-2"/>
          <w:szCs w:val="28"/>
        </w:rPr>
      </w:pPr>
      <w:r>
        <w:rPr>
          <w:rFonts w:hint="eastAsia" w:cs="宋体"/>
          <w:spacing w:val="-2"/>
          <w:szCs w:val="28"/>
        </w:rPr>
        <w:t>数字资源配备有关基本要求：</w:t>
      </w:r>
    </w:p>
    <w:p>
      <w:pPr>
        <w:spacing w:line="360" w:lineRule="auto"/>
        <w:ind w:firstLine="601"/>
        <w:rPr>
          <w:rFonts w:cs="宋体"/>
          <w:spacing w:val="-2"/>
          <w:szCs w:val="28"/>
        </w:rPr>
      </w:pPr>
      <w:r>
        <w:rPr>
          <w:rFonts w:hint="eastAsia" w:cs="宋体"/>
          <w:spacing w:val="-2"/>
          <w:szCs w:val="28"/>
        </w:rPr>
        <w:t>（1）网络课程：核心课程有可供学生自主学习的网络课程。网络课程应包括：课程标准（教学大纲）、授课计划、集中实训任务书、电子教案、多媒体课件、视频课程(微课或慕课)、习题库、网上测试或试题库等。</w:t>
      </w:r>
    </w:p>
    <w:p>
      <w:pPr>
        <w:spacing w:line="360" w:lineRule="auto"/>
        <w:ind w:firstLine="601"/>
        <w:rPr>
          <w:rFonts w:cs="宋体"/>
          <w:spacing w:val="-2"/>
          <w:szCs w:val="28"/>
        </w:rPr>
      </w:pPr>
      <w:r>
        <w:rPr>
          <w:rFonts w:hint="eastAsia" w:cs="宋体"/>
          <w:spacing w:val="-2"/>
          <w:szCs w:val="28"/>
        </w:rPr>
        <w:t>（2）音像资料：图书馆应有相关专业的音像资料。</w:t>
      </w:r>
    </w:p>
    <w:p>
      <w:pPr>
        <w:spacing w:line="360" w:lineRule="auto"/>
        <w:ind w:firstLine="601"/>
        <w:rPr>
          <w:rFonts w:cs="宋体"/>
          <w:spacing w:val="-2"/>
          <w:szCs w:val="28"/>
        </w:rPr>
      </w:pPr>
      <w:r>
        <w:rPr>
          <w:rFonts w:hint="eastAsia" w:cs="宋体"/>
          <w:spacing w:val="-2"/>
          <w:szCs w:val="28"/>
        </w:rPr>
        <w:t>（3）电子期刊：学校应有中国知网学术期刊、国开图书馆数字资源、北京超星电子图书等电子期刊。</w:t>
      </w:r>
    </w:p>
    <w:p>
      <w:pPr>
        <w:pStyle w:val="13"/>
        <w:tabs>
          <w:tab w:val="center" w:pos="4153"/>
        </w:tabs>
        <w:spacing w:before="0" w:after="0" w:line="600" w:lineRule="exact"/>
        <w:jc w:val="left"/>
        <w:outlineLvl w:val="1"/>
        <w:rPr>
          <w:rFonts w:ascii="宋体" w:hAnsi="宋体" w:cs="宋体"/>
          <w:b w:val="0"/>
          <w:color w:val="000000" w:themeColor="text1"/>
          <w:spacing w:val="-2"/>
          <w:sz w:val="28"/>
          <w:szCs w:val="28"/>
          <w14:textFill>
            <w14:solidFill>
              <w14:schemeClr w14:val="tx1"/>
            </w14:solidFill>
          </w14:textFill>
        </w:rPr>
      </w:pPr>
      <w:bookmarkStart w:id="26" w:name="_Toc76052139"/>
      <w:r>
        <w:rPr>
          <w:rFonts w:hint="eastAsia" w:ascii="宋体" w:hAnsi="宋体" w:cs="宋体"/>
          <w:b w:val="0"/>
          <w:color w:val="000000" w:themeColor="text1"/>
          <w:spacing w:val="-2"/>
          <w:sz w:val="28"/>
          <w:szCs w:val="28"/>
          <w14:textFill>
            <w14:solidFill>
              <w14:schemeClr w14:val="tx1"/>
            </w14:solidFill>
          </w14:textFill>
        </w:rPr>
        <w:t>（四）教学方法</w:t>
      </w:r>
      <w:bookmarkEnd w:id="26"/>
    </w:p>
    <w:p>
      <w:pPr>
        <w:spacing w:line="360" w:lineRule="auto"/>
        <w:ind w:firstLine="601"/>
        <w:rPr>
          <w:rFonts w:cs="宋体"/>
          <w:spacing w:val="-2"/>
          <w:szCs w:val="28"/>
        </w:rPr>
      </w:pPr>
      <w:r>
        <w:rPr>
          <w:rFonts w:hint="eastAsia" w:cs="宋体"/>
          <w:spacing w:val="-2"/>
          <w:szCs w:val="28"/>
        </w:rPr>
        <w:t>电子商务专业涉及职业面较为宽泛，教学方法也相应灵活多样，除讲授法外，主要方法有：</w:t>
      </w:r>
    </w:p>
    <w:p>
      <w:pPr>
        <w:spacing w:line="360" w:lineRule="auto"/>
        <w:ind w:firstLine="601"/>
        <w:rPr>
          <w:rFonts w:cs="宋体"/>
          <w:spacing w:val="-2"/>
          <w:szCs w:val="28"/>
        </w:rPr>
      </w:pPr>
      <w:r>
        <w:rPr>
          <w:rFonts w:hint="eastAsia" w:cs="宋体"/>
          <w:spacing w:val="-2"/>
          <w:szCs w:val="28"/>
        </w:rPr>
        <w:t>1.示范教学法。以教师的示范性操作为主，主要适合实训类课程教学。</w:t>
      </w:r>
    </w:p>
    <w:p>
      <w:pPr>
        <w:spacing w:line="360" w:lineRule="auto"/>
        <w:ind w:firstLine="601"/>
        <w:rPr>
          <w:rFonts w:cs="宋体"/>
          <w:spacing w:val="-2"/>
          <w:szCs w:val="28"/>
        </w:rPr>
      </w:pPr>
      <w:r>
        <w:rPr>
          <w:rFonts w:hint="eastAsia" w:cs="宋体"/>
          <w:spacing w:val="-2"/>
          <w:szCs w:val="28"/>
        </w:rPr>
        <w:t>2.模拟教学法。通过模拟工作流程实现教学，主要适合理实一体化的课程教学。</w:t>
      </w:r>
    </w:p>
    <w:p>
      <w:pPr>
        <w:spacing w:line="360" w:lineRule="auto"/>
        <w:ind w:firstLine="601"/>
        <w:rPr>
          <w:rFonts w:cs="宋体"/>
          <w:spacing w:val="-2"/>
          <w:szCs w:val="28"/>
        </w:rPr>
      </w:pPr>
      <w:r>
        <w:rPr>
          <w:rFonts w:hint="eastAsia" w:cs="宋体"/>
          <w:spacing w:val="-2"/>
          <w:szCs w:val="28"/>
        </w:rPr>
        <w:t>3.项目教学法。通过企业真实工作项目实现教学，主要适合集中实训课程教学。</w:t>
      </w:r>
    </w:p>
    <w:p>
      <w:pPr>
        <w:spacing w:line="360" w:lineRule="auto"/>
        <w:ind w:firstLine="601"/>
        <w:rPr>
          <w:rFonts w:cs="宋体"/>
          <w:spacing w:val="-2"/>
          <w:szCs w:val="28"/>
        </w:rPr>
      </w:pPr>
      <w:r>
        <w:rPr>
          <w:rFonts w:hint="eastAsia" w:cs="宋体"/>
          <w:spacing w:val="-2"/>
          <w:szCs w:val="28"/>
        </w:rPr>
        <w:t>4.案例教学法。通过实践案例解析实现教学，主要适合理实一体化等课程教学。</w:t>
      </w:r>
    </w:p>
    <w:p>
      <w:pPr>
        <w:spacing w:line="360" w:lineRule="auto"/>
        <w:ind w:firstLine="601"/>
        <w:rPr>
          <w:rFonts w:cs="宋体"/>
          <w:spacing w:val="-2"/>
          <w:szCs w:val="28"/>
        </w:rPr>
      </w:pPr>
      <w:r>
        <w:rPr>
          <w:rFonts w:hint="eastAsia" w:cs="宋体"/>
          <w:spacing w:val="-2"/>
          <w:szCs w:val="28"/>
        </w:rPr>
        <w:t>5.岗位教学法。通过实际岗位体验实现教学，主要适于网络安全类课程，以及服务岗位技能训练。</w:t>
      </w:r>
    </w:p>
    <w:p>
      <w:pPr>
        <w:pStyle w:val="13"/>
        <w:tabs>
          <w:tab w:val="center" w:pos="4153"/>
        </w:tabs>
        <w:spacing w:before="0" w:after="0" w:line="600" w:lineRule="exact"/>
        <w:jc w:val="left"/>
        <w:outlineLvl w:val="1"/>
        <w:rPr>
          <w:rFonts w:ascii="宋体" w:hAnsi="宋体" w:cs="宋体"/>
          <w:b w:val="0"/>
          <w:spacing w:val="-2"/>
          <w:sz w:val="28"/>
          <w:szCs w:val="28"/>
        </w:rPr>
      </w:pPr>
      <w:bookmarkStart w:id="27" w:name="_Toc76052140"/>
      <w:r>
        <w:rPr>
          <w:rFonts w:hint="eastAsia" w:ascii="宋体" w:hAnsi="宋体" w:cs="宋体"/>
          <w:b w:val="0"/>
          <w:spacing w:val="-2"/>
          <w:sz w:val="28"/>
          <w:szCs w:val="28"/>
        </w:rPr>
        <w:t>（五）学习评价</w:t>
      </w:r>
      <w:bookmarkEnd w:id="27"/>
    </w:p>
    <w:p>
      <w:pPr>
        <w:pStyle w:val="13"/>
        <w:tabs>
          <w:tab w:val="center" w:pos="4153"/>
        </w:tabs>
        <w:spacing w:before="0" w:after="190" w:afterLines="50" w:line="600" w:lineRule="exact"/>
        <w:ind w:firstLine="552" w:firstLineChars="200"/>
        <w:jc w:val="left"/>
        <w:outlineLvl w:val="9"/>
        <w:rPr>
          <w:rFonts w:ascii="宋体" w:hAnsi="宋体" w:cs="宋体"/>
          <w:b w:val="0"/>
          <w:spacing w:val="-2"/>
          <w:sz w:val="28"/>
          <w:szCs w:val="28"/>
        </w:rPr>
      </w:pPr>
      <w:bookmarkStart w:id="28" w:name="_Toc76052141"/>
      <w:r>
        <w:rPr>
          <w:rFonts w:hint="eastAsia" w:ascii="宋体" w:hAnsi="宋体" w:cs="宋体"/>
          <w:b w:val="0"/>
          <w:spacing w:val="-2"/>
          <w:sz w:val="28"/>
          <w:szCs w:val="28"/>
        </w:rPr>
        <w:t>学生的考核与评价由过程性考核、终结性考核组成。体现线上线下之分，包括过程、作品考核。</w:t>
      </w:r>
      <w:bookmarkEnd w:id="28"/>
    </w:p>
    <w:p>
      <w:pPr>
        <w:jc w:val="center"/>
        <w:rPr>
          <w:rFonts w:cs="宋体"/>
          <w:sz w:val="24"/>
          <w:szCs w:val="24"/>
        </w:rPr>
      </w:pPr>
      <w:r>
        <w:rPr>
          <w:rFonts w:hint="eastAsia" w:cs="宋体"/>
          <w:b/>
          <w:sz w:val="24"/>
          <w:szCs w:val="24"/>
        </w:rPr>
        <w:t>表8-5</w:t>
      </w:r>
      <w:r>
        <w:rPr>
          <w:rFonts w:hint="eastAsia" w:cs="宋体"/>
          <w:sz w:val="24"/>
          <w:szCs w:val="24"/>
        </w:rPr>
        <w:t xml:space="preserve"> 学生的考核与评价标准</w:t>
      </w:r>
    </w:p>
    <w:tbl>
      <w:tblPr>
        <w:tblStyle w:val="1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410"/>
        <w:gridCol w:w="283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1526" w:type="dxa"/>
            <w:shd w:val="clear" w:color="auto" w:fill="D9D9D9"/>
            <w:vAlign w:val="center"/>
          </w:tcPr>
          <w:p>
            <w:pPr>
              <w:spacing w:line="480" w:lineRule="exact"/>
              <w:jc w:val="center"/>
              <w:rPr>
                <w:rFonts w:cs="宋体"/>
                <w:b/>
                <w:sz w:val="24"/>
              </w:rPr>
            </w:pPr>
            <w:r>
              <w:rPr>
                <w:rFonts w:hint="eastAsia" w:cs="宋体"/>
                <w:b/>
                <w:sz w:val="24"/>
              </w:rPr>
              <w:t>评价内容</w:t>
            </w:r>
          </w:p>
        </w:tc>
        <w:tc>
          <w:tcPr>
            <w:tcW w:w="2410" w:type="dxa"/>
            <w:shd w:val="clear" w:color="auto" w:fill="D9D9D9"/>
            <w:vAlign w:val="center"/>
          </w:tcPr>
          <w:p>
            <w:pPr>
              <w:spacing w:line="480" w:lineRule="exact"/>
              <w:jc w:val="center"/>
              <w:rPr>
                <w:rFonts w:cs="宋体"/>
                <w:b/>
                <w:sz w:val="24"/>
              </w:rPr>
            </w:pPr>
            <w:r>
              <w:rPr>
                <w:rFonts w:hint="eastAsia" w:cs="宋体"/>
                <w:b/>
                <w:sz w:val="24"/>
              </w:rPr>
              <w:t>评价主体</w:t>
            </w:r>
          </w:p>
        </w:tc>
        <w:tc>
          <w:tcPr>
            <w:tcW w:w="2835" w:type="dxa"/>
            <w:shd w:val="clear" w:color="auto" w:fill="D9D9D9"/>
            <w:vAlign w:val="center"/>
          </w:tcPr>
          <w:p>
            <w:pPr>
              <w:spacing w:line="480" w:lineRule="exact"/>
              <w:jc w:val="center"/>
              <w:rPr>
                <w:rFonts w:cs="宋体"/>
                <w:b/>
                <w:sz w:val="24"/>
              </w:rPr>
            </w:pPr>
            <w:r>
              <w:rPr>
                <w:rFonts w:hint="eastAsia" w:cs="宋体"/>
                <w:b/>
                <w:sz w:val="24"/>
              </w:rPr>
              <w:t>评价方式</w:t>
            </w:r>
          </w:p>
        </w:tc>
        <w:tc>
          <w:tcPr>
            <w:tcW w:w="1757" w:type="dxa"/>
            <w:shd w:val="clear" w:color="auto" w:fill="D9D9D9"/>
            <w:vAlign w:val="center"/>
          </w:tcPr>
          <w:p>
            <w:pPr>
              <w:spacing w:line="480" w:lineRule="exact"/>
              <w:jc w:val="center"/>
              <w:rPr>
                <w:rFonts w:cs="宋体"/>
                <w:b/>
                <w:sz w:val="24"/>
              </w:rPr>
            </w:pPr>
            <w:r>
              <w:rPr>
                <w:rFonts w:hint="eastAsia" w:cs="宋体"/>
                <w:b/>
                <w:sz w:val="24"/>
              </w:rPr>
              <w:t>评价时间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s="宋体"/>
                <w:sz w:val="24"/>
              </w:rPr>
            </w:pPr>
            <w:r>
              <w:rPr>
                <w:rFonts w:hint="eastAsia" w:cs="宋体"/>
                <w:sz w:val="24"/>
              </w:rPr>
              <w:t>文化基础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知识</w:t>
            </w:r>
          </w:p>
        </w:tc>
        <w:tc>
          <w:tcPr>
            <w:tcW w:w="241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掌握一定的政治理论、必要的法律知识，具有一定的道德修养知识。</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具有必备的体育知识</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具有必备的英语知识</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熟练掌握计算机应用基础知识。</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具有较强的文字表达和计算能力。</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具有健康的身体和心理。</w:t>
            </w:r>
          </w:p>
        </w:tc>
        <w:tc>
          <w:tcPr>
            <w:tcW w:w="283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包括过程性考核和终结性考核。过程性考核由出勤、作业（实验报告）、课堂参与、平时考核（含技能）等组成，占总成绩的60%（要求出勤占总成绩的20%）。终结性考核由理论考试、技能考核组成，占总成绩的40%，无技能考核的课程则计算理论考试成绩。</w:t>
            </w:r>
          </w:p>
        </w:tc>
        <w:tc>
          <w:tcPr>
            <w:tcW w:w="175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sz w:val="24"/>
              </w:rPr>
            </w:pPr>
            <w:r>
              <w:rPr>
                <w:rFonts w:hint="eastAsia"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3" w:hRule="atLeast"/>
        </w:trPr>
        <w:tc>
          <w:tcPr>
            <w:tcW w:w="1526" w:type="dxa"/>
            <w:shd w:val="clear" w:color="auto" w:fill="auto"/>
            <w:vAlign w:val="center"/>
          </w:tcPr>
          <w:p>
            <w:pPr>
              <w:spacing w:line="480" w:lineRule="exact"/>
              <w:rPr>
                <w:rFonts w:cs="宋体"/>
                <w:sz w:val="24"/>
              </w:rPr>
            </w:pPr>
            <w:r>
              <w:rPr>
                <w:rFonts w:hint="eastAsia" w:cs="宋体"/>
                <w:sz w:val="24"/>
              </w:rPr>
              <w:t>专业知识及技能</w:t>
            </w:r>
          </w:p>
        </w:tc>
        <w:tc>
          <w:tcPr>
            <w:tcW w:w="2410" w:type="dxa"/>
            <w:shd w:val="clear" w:color="auto" w:fill="auto"/>
            <w:vAlign w:val="center"/>
          </w:tcPr>
          <w:p>
            <w:pPr>
              <w:spacing w:line="480" w:lineRule="exact"/>
              <w:rPr>
                <w:rFonts w:cs="宋体"/>
                <w:sz w:val="24"/>
              </w:rPr>
            </w:pPr>
            <w:r>
              <w:rPr>
                <w:rFonts w:hint="eastAsia" w:cs="宋体"/>
                <w:sz w:val="24"/>
              </w:rPr>
              <w:t>掌握网络设备安装调试、服务器安装设计、网络环境搭建与维护、网络信息安全管理、数据库、网页制作与设计方面的理论知识与技术技能。</w:t>
            </w:r>
          </w:p>
        </w:tc>
        <w:tc>
          <w:tcPr>
            <w:tcW w:w="2835" w:type="dxa"/>
            <w:shd w:val="clear" w:color="auto" w:fill="auto"/>
            <w:vAlign w:val="center"/>
          </w:tcPr>
          <w:p>
            <w:pPr>
              <w:spacing w:line="480" w:lineRule="exact"/>
              <w:rPr>
                <w:rFonts w:cs="宋体"/>
                <w:sz w:val="24"/>
              </w:rPr>
            </w:pPr>
            <w:r>
              <w:rPr>
                <w:rFonts w:hint="eastAsia" w:cs="宋体"/>
                <w:sz w:val="24"/>
              </w:rPr>
              <w:t>过程性考核由出勤、作业（实验报告）、课堂参与、平时考核（含技能）等组成，占总成绩的50%（要求出勤占总成绩的20%）。</w:t>
            </w:r>
          </w:p>
          <w:p>
            <w:pPr>
              <w:spacing w:line="480" w:lineRule="exact"/>
              <w:rPr>
                <w:rFonts w:cs="宋体"/>
                <w:sz w:val="24"/>
              </w:rPr>
            </w:pPr>
            <w:r>
              <w:rPr>
                <w:rFonts w:hint="eastAsia" w:cs="宋体"/>
                <w:sz w:val="24"/>
              </w:rPr>
              <w:t>终结性考核由理论考试、技能考核、项目演示答辩组成，占总成绩的50%。</w:t>
            </w:r>
          </w:p>
        </w:tc>
        <w:tc>
          <w:tcPr>
            <w:tcW w:w="1757" w:type="dxa"/>
            <w:shd w:val="clear" w:color="auto" w:fill="auto"/>
            <w:vAlign w:val="center"/>
          </w:tcPr>
          <w:p>
            <w:pPr>
              <w:spacing w:line="480" w:lineRule="exact"/>
              <w:rPr>
                <w:rFonts w:cs="宋体"/>
                <w:sz w:val="24"/>
              </w:rPr>
            </w:pPr>
            <w:r>
              <w:rPr>
                <w:rFonts w:hint="eastAsia"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2" w:hRule="atLeast"/>
        </w:trPr>
        <w:tc>
          <w:tcPr>
            <w:tcW w:w="1526" w:type="dxa"/>
            <w:shd w:val="clear" w:color="auto" w:fill="auto"/>
            <w:vAlign w:val="center"/>
          </w:tcPr>
          <w:p>
            <w:pPr>
              <w:spacing w:line="480" w:lineRule="exact"/>
              <w:rPr>
                <w:rFonts w:cs="宋体"/>
                <w:sz w:val="24"/>
              </w:rPr>
            </w:pPr>
            <w:r>
              <w:rPr>
                <w:rFonts w:hint="eastAsia" w:cs="宋体"/>
                <w:sz w:val="24"/>
              </w:rPr>
              <w:t>综合项目实训</w:t>
            </w:r>
          </w:p>
        </w:tc>
        <w:tc>
          <w:tcPr>
            <w:tcW w:w="2410" w:type="dxa"/>
            <w:shd w:val="clear" w:color="auto" w:fill="auto"/>
            <w:vAlign w:val="center"/>
          </w:tcPr>
          <w:p>
            <w:pPr>
              <w:rPr>
                <w:rFonts w:cs="宋体"/>
                <w:sz w:val="24"/>
                <w:szCs w:val="24"/>
              </w:rPr>
            </w:pPr>
            <w:r>
              <w:rPr>
                <w:rFonts w:hint="eastAsia" w:cs="宋体"/>
                <w:sz w:val="24"/>
                <w:szCs w:val="24"/>
              </w:rPr>
              <w:t>能够在实训室内实现网络运维、网站管理、网络互连互通，服务器配置管理等。</w:t>
            </w:r>
          </w:p>
        </w:tc>
        <w:tc>
          <w:tcPr>
            <w:tcW w:w="2835" w:type="dxa"/>
            <w:shd w:val="clear" w:color="auto" w:fill="auto"/>
            <w:vAlign w:val="center"/>
          </w:tcPr>
          <w:p>
            <w:pPr>
              <w:spacing w:line="480" w:lineRule="exact"/>
              <w:rPr>
                <w:rFonts w:cs="宋体"/>
                <w:sz w:val="24"/>
              </w:rPr>
            </w:pPr>
            <w:r>
              <w:rPr>
                <w:rFonts w:hint="eastAsia" w:cs="宋体"/>
                <w:sz w:val="24"/>
              </w:rPr>
              <w:t>分项目成绩由平时成绩、技能操作、实训作品（成果）以及综合实训报告等组成。按平时成绩20％、技能操作30％、实训作品（成果）30%、综合实训报告20％计算综合项目实训总成绩。</w:t>
            </w:r>
          </w:p>
        </w:tc>
        <w:tc>
          <w:tcPr>
            <w:tcW w:w="1757" w:type="dxa"/>
            <w:shd w:val="clear" w:color="auto" w:fill="auto"/>
            <w:vAlign w:val="center"/>
          </w:tcPr>
          <w:p>
            <w:pPr>
              <w:spacing w:line="480" w:lineRule="exact"/>
              <w:rPr>
                <w:rFonts w:cs="宋体"/>
                <w:sz w:val="24"/>
              </w:rPr>
            </w:pPr>
            <w:r>
              <w:rPr>
                <w:rFonts w:hint="eastAsia" w:cs="宋体"/>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8" w:hRule="atLeast"/>
        </w:trPr>
        <w:tc>
          <w:tcPr>
            <w:tcW w:w="1526" w:type="dxa"/>
            <w:shd w:val="clear" w:color="auto" w:fill="auto"/>
            <w:vAlign w:val="center"/>
          </w:tcPr>
          <w:p>
            <w:pPr>
              <w:spacing w:line="480" w:lineRule="exact"/>
              <w:rPr>
                <w:rFonts w:cs="宋体"/>
                <w:sz w:val="24"/>
              </w:rPr>
            </w:pPr>
            <w:r>
              <w:rPr>
                <w:rFonts w:hint="eastAsia" w:cs="宋体"/>
                <w:sz w:val="24"/>
              </w:rPr>
              <w:t>顶岗实习</w:t>
            </w:r>
          </w:p>
        </w:tc>
        <w:tc>
          <w:tcPr>
            <w:tcW w:w="2410" w:type="dxa"/>
            <w:shd w:val="clear" w:color="auto" w:fill="auto"/>
            <w:vAlign w:val="center"/>
          </w:tcPr>
          <w:p>
            <w:pPr>
              <w:rPr>
                <w:rFonts w:cs="宋体"/>
                <w:sz w:val="24"/>
                <w:szCs w:val="24"/>
              </w:rPr>
            </w:pPr>
            <w:r>
              <w:rPr>
                <w:rFonts w:hint="eastAsia" w:cs="宋体"/>
                <w:sz w:val="24"/>
                <w:szCs w:val="24"/>
              </w:rPr>
              <w:t>能够自觉遵守企业的秩序</w:t>
            </w:r>
          </w:p>
        </w:tc>
        <w:tc>
          <w:tcPr>
            <w:tcW w:w="2835" w:type="dxa"/>
            <w:shd w:val="clear" w:color="auto" w:fill="auto"/>
            <w:vAlign w:val="center"/>
          </w:tcPr>
          <w:p>
            <w:pPr>
              <w:spacing w:line="480" w:lineRule="exact"/>
              <w:rPr>
                <w:rFonts w:cs="宋体"/>
                <w:sz w:val="24"/>
              </w:rPr>
            </w:pPr>
            <w:r>
              <w:rPr>
                <w:rFonts w:hint="eastAsia" w:cs="宋体"/>
                <w:sz w:val="24"/>
              </w:rPr>
              <w:t>过程性考核由出勤、实习报告、企业实习总结、指导教师评价、企业评价等组成，占总成绩的80%（要求出勤占总成绩的35%）。</w:t>
            </w:r>
          </w:p>
          <w:p>
            <w:pPr>
              <w:spacing w:line="480" w:lineRule="exact"/>
              <w:rPr>
                <w:rFonts w:cs="宋体"/>
                <w:sz w:val="24"/>
              </w:rPr>
            </w:pPr>
            <w:r>
              <w:rPr>
                <w:rFonts w:hint="eastAsia" w:cs="宋体"/>
                <w:sz w:val="24"/>
              </w:rPr>
              <w:t>终结性考核由毕业设计作品、毕业答辩组成，占总成绩的20%。</w:t>
            </w:r>
          </w:p>
        </w:tc>
        <w:tc>
          <w:tcPr>
            <w:tcW w:w="1757" w:type="dxa"/>
            <w:shd w:val="clear" w:color="auto" w:fill="auto"/>
            <w:vAlign w:val="center"/>
          </w:tcPr>
          <w:p>
            <w:pPr>
              <w:spacing w:line="480" w:lineRule="exact"/>
              <w:rPr>
                <w:rFonts w:cs="宋体"/>
                <w:sz w:val="24"/>
              </w:rPr>
            </w:pPr>
            <w:r>
              <w:rPr>
                <w:rFonts w:hint="eastAsia" w:cs="宋体"/>
                <w:sz w:val="24"/>
              </w:rPr>
              <w:t>实习期间和实习期满时</w:t>
            </w:r>
          </w:p>
        </w:tc>
      </w:tr>
    </w:tbl>
    <w:p>
      <w:pPr>
        <w:pStyle w:val="13"/>
        <w:tabs>
          <w:tab w:val="center" w:pos="4153"/>
        </w:tabs>
        <w:spacing w:before="0" w:after="0" w:line="600" w:lineRule="exact"/>
        <w:jc w:val="left"/>
        <w:outlineLvl w:val="1"/>
        <w:rPr>
          <w:rFonts w:ascii="宋体" w:hAnsi="宋体" w:cs="宋体"/>
          <w:b w:val="0"/>
          <w:spacing w:val="-2"/>
          <w:sz w:val="28"/>
          <w:szCs w:val="28"/>
        </w:rPr>
      </w:pPr>
      <w:bookmarkStart w:id="29" w:name="_Toc76052142"/>
      <w:r>
        <w:rPr>
          <w:rFonts w:hint="eastAsia" w:ascii="宋体" w:hAnsi="宋体" w:cs="宋体"/>
          <w:b w:val="0"/>
          <w:spacing w:val="-2"/>
          <w:sz w:val="28"/>
          <w:szCs w:val="28"/>
        </w:rPr>
        <w:t>（六）质量管理</w:t>
      </w:r>
      <w:bookmarkEnd w:id="29"/>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0" w:name="_Toc76052143"/>
      <w:r>
        <w:rPr>
          <w:rFonts w:hint="eastAsia" w:ascii="宋体" w:hAnsi="宋体" w:cs="宋体"/>
          <w:b w:val="0"/>
          <w:spacing w:val="-2"/>
          <w:sz w:val="28"/>
          <w:szCs w:val="28"/>
        </w:rPr>
        <w:t>1、教学诊断与改进</w:t>
      </w:r>
      <w:bookmarkEnd w:id="30"/>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1" w:name="_Toc76052144"/>
      <w:r>
        <w:rPr>
          <w:rFonts w:hint="eastAsia" w:ascii="宋体" w:hAnsi="宋体" w:cs="宋体"/>
          <w:b w:val="0"/>
          <w:spacing w:val="-2"/>
          <w:sz w:val="28"/>
          <w:szCs w:val="28"/>
        </w:rPr>
        <w:t>（1）通过教学简报，将“学院、系部、专业负责人、学生、家长”等多个方面的监督结果汇集，并根据结果，对专业运行进行具体调整，形成多方监控的效果。</w:t>
      </w:r>
      <w:bookmarkEnd w:id="31"/>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2" w:name="_Toc76052145"/>
      <w:r>
        <w:rPr>
          <w:rFonts w:hint="eastAsia" w:ascii="宋体" w:hAnsi="宋体" w:cs="宋体"/>
          <w:b w:val="0"/>
          <w:spacing w:val="-2"/>
          <w:sz w:val="28"/>
          <w:szCs w:val="28"/>
        </w:rPr>
        <w:t>（2）教务处全面负责学籍管理、学分制实施，教学方法论培训与引导、教师素质测评等；</w:t>
      </w:r>
      <w:bookmarkEnd w:id="32"/>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3" w:name="_Toc76052146"/>
      <w:r>
        <w:rPr>
          <w:rFonts w:hint="eastAsia" w:ascii="宋体" w:hAnsi="宋体" w:cs="宋体"/>
          <w:b w:val="0"/>
          <w:spacing w:val="-2"/>
          <w:sz w:val="28"/>
          <w:szCs w:val="28"/>
        </w:rPr>
        <w:t>（3）督导室跟踪教学过程，指导教师提高教学能力。</w:t>
      </w:r>
      <w:bookmarkEnd w:id="33"/>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4" w:name="_Toc76052147"/>
      <w:r>
        <w:rPr>
          <w:rFonts w:hint="eastAsia" w:ascii="宋体" w:hAnsi="宋体" w:cs="宋体"/>
          <w:b w:val="0"/>
          <w:spacing w:val="-2"/>
          <w:sz w:val="28"/>
          <w:szCs w:val="28"/>
        </w:rPr>
        <w:t>2.教学管理机制</w:t>
      </w:r>
      <w:bookmarkEnd w:id="34"/>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5" w:name="_Toc76052148"/>
      <w:r>
        <w:rPr>
          <w:rFonts w:hint="eastAsia" w:ascii="宋体" w:hAnsi="宋体" w:cs="宋体"/>
          <w:b w:val="0"/>
          <w:spacing w:val="-2"/>
          <w:sz w:val="28"/>
          <w:szCs w:val="28"/>
        </w:rPr>
        <w:t>建立从上到下的多层级教学管理与指导机构，进一步规范教学行为。</w:t>
      </w:r>
      <w:bookmarkEnd w:id="35"/>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6" w:name="_Toc76052149"/>
      <w:r>
        <w:rPr>
          <w:rFonts w:hint="eastAsia" w:ascii="宋体" w:hAnsi="宋体" w:cs="宋体"/>
          <w:b w:val="0"/>
          <w:spacing w:val="-2"/>
          <w:sz w:val="28"/>
          <w:szCs w:val="28"/>
        </w:rPr>
        <w:t>（1）借助教育部高职信息教学指导委员会平台、高职院校教学教研专家，对专业建设从发展战略高度予以把关，必要时邀请该委员会成员进行远程或现场指导。</w:t>
      </w:r>
      <w:bookmarkEnd w:id="36"/>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7" w:name="_Toc76052150"/>
      <w:r>
        <w:rPr>
          <w:rFonts w:hint="eastAsia" w:ascii="宋体" w:hAnsi="宋体" w:cs="宋体"/>
          <w:b w:val="0"/>
          <w:spacing w:val="-2"/>
          <w:sz w:val="28"/>
          <w:szCs w:val="28"/>
        </w:rPr>
        <w:t>（2）利用学校教学指导委员会，协助专业带头人和课程负责人指导优化专业核心课程的教学设计，保证教学设计的科学、合理、适用；</w:t>
      </w:r>
      <w:bookmarkEnd w:id="37"/>
    </w:p>
    <w:p>
      <w:pPr>
        <w:pStyle w:val="13"/>
        <w:tabs>
          <w:tab w:val="center" w:pos="4153"/>
        </w:tabs>
        <w:spacing w:before="0" w:after="0" w:line="600" w:lineRule="exact"/>
        <w:ind w:firstLine="552" w:firstLineChars="200"/>
        <w:jc w:val="left"/>
        <w:outlineLvl w:val="9"/>
        <w:rPr>
          <w:rFonts w:ascii="宋体" w:hAnsi="宋体" w:cs="宋体"/>
          <w:b w:val="0"/>
          <w:spacing w:val="-2"/>
          <w:sz w:val="28"/>
          <w:szCs w:val="28"/>
        </w:rPr>
      </w:pPr>
      <w:bookmarkStart w:id="38" w:name="_Toc76052151"/>
      <w:r>
        <w:rPr>
          <w:rFonts w:hint="eastAsia" w:ascii="宋体" w:hAnsi="宋体" w:cs="宋体"/>
          <w:b w:val="0"/>
          <w:spacing w:val="-2"/>
          <w:sz w:val="28"/>
          <w:szCs w:val="28"/>
        </w:rPr>
        <w:t>（3）通过由同行企业专家组成的专业建设指导委员会，不断对本专业的教学模式、教学内容、教师素质、教学管理等各环节进行审核、诊断和指导，保障学以致用。</w:t>
      </w:r>
      <w:bookmarkEnd w:id="38"/>
    </w:p>
    <w:p>
      <w:pPr>
        <w:pStyle w:val="13"/>
        <w:tabs>
          <w:tab w:val="center" w:pos="4153"/>
        </w:tabs>
        <w:spacing w:before="0" w:after="0" w:line="560" w:lineRule="exact"/>
        <w:ind w:firstLine="552" w:firstLineChars="200"/>
        <w:jc w:val="left"/>
        <w:outlineLvl w:val="9"/>
        <w:rPr>
          <w:rFonts w:ascii="宋体" w:hAnsi="宋体" w:cs="宋体"/>
          <w:b w:val="0"/>
          <w:spacing w:val="-2"/>
          <w:sz w:val="28"/>
          <w:szCs w:val="28"/>
        </w:rPr>
      </w:pPr>
      <w:bookmarkStart w:id="39" w:name="_Toc76052152"/>
      <w:r>
        <w:rPr>
          <w:rFonts w:hint="eastAsia" w:ascii="宋体" w:hAnsi="宋体" w:cs="宋体"/>
          <w:b w:val="0"/>
          <w:spacing w:val="-2"/>
          <w:sz w:val="28"/>
          <w:szCs w:val="28"/>
        </w:rPr>
        <w:t>3.建立多向反馈机制</w:t>
      </w:r>
      <w:bookmarkEnd w:id="39"/>
    </w:p>
    <w:p>
      <w:pPr>
        <w:pStyle w:val="13"/>
        <w:tabs>
          <w:tab w:val="center" w:pos="4153"/>
        </w:tabs>
        <w:spacing w:before="0" w:after="0" w:line="560" w:lineRule="exact"/>
        <w:ind w:firstLine="552" w:firstLineChars="200"/>
        <w:jc w:val="left"/>
        <w:outlineLvl w:val="9"/>
        <w:rPr>
          <w:rFonts w:ascii="宋体" w:hAnsi="宋体" w:cs="宋体"/>
          <w:b w:val="0"/>
          <w:spacing w:val="-2"/>
          <w:sz w:val="28"/>
          <w:szCs w:val="28"/>
        </w:rPr>
      </w:pPr>
      <w:bookmarkStart w:id="40" w:name="_Toc76052153"/>
      <w:r>
        <w:rPr>
          <w:rFonts w:hint="eastAsia" w:ascii="宋体" w:hAnsi="宋体" w:cs="宋体"/>
          <w:b w:val="0"/>
          <w:spacing w:val="-2"/>
          <w:sz w:val="28"/>
          <w:szCs w:val="28"/>
        </w:rPr>
        <w:t>建立常规的稳定的联系管道，通过网络信息、信函、走访、会议、接待电话等方式，将“用人单位、教师、家长、学生、社会”等方面的回馈信息系统汇集整理。突出持续性、全程性监控特点，实现教学质量管理的经常化、规范化。</w:t>
      </w:r>
      <w:bookmarkEnd w:id="40"/>
    </w:p>
    <w:p>
      <w:pPr>
        <w:spacing w:line="600" w:lineRule="exact"/>
        <w:outlineLvl w:val="0"/>
        <w:rPr>
          <w:rFonts w:ascii="黑体" w:hAnsi="黑体" w:eastAsia="黑体" w:cs="黑体"/>
          <w:sz w:val="32"/>
          <w:szCs w:val="32"/>
        </w:rPr>
      </w:pPr>
      <w:bookmarkStart w:id="41" w:name="_Toc76052154"/>
      <w:r>
        <w:rPr>
          <w:rFonts w:hint="eastAsia" w:ascii="黑体" w:hAnsi="黑体" w:eastAsia="黑体" w:cs="黑体"/>
          <w:sz w:val="32"/>
          <w:szCs w:val="32"/>
        </w:rPr>
        <w:t>九、毕业条件</w:t>
      </w:r>
      <w:bookmarkEnd w:id="41"/>
    </w:p>
    <w:p>
      <w:pPr>
        <w:pStyle w:val="13"/>
        <w:tabs>
          <w:tab w:val="center" w:pos="4153"/>
        </w:tabs>
        <w:spacing w:before="0" w:after="0" w:line="560" w:lineRule="exact"/>
        <w:ind w:firstLine="552" w:firstLineChars="200"/>
        <w:jc w:val="left"/>
        <w:outlineLvl w:val="9"/>
        <w:rPr>
          <w:rFonts w:ascii="宋体" w:hAnsi="宋体" w:cs="宋体"/>
          <w:b w:val="0"/>
          <w:spacing w:val="-2"/>
          <w:sz w:val="28"/>
          <w:szCs w:val="28"/>
        </w:rPr>
      </w:pPr>
      <w:bookmarkStart w:id="42" w:name="_Toc76052155"/>
      <w:r>
        <w:rPr>
          <w:rFonts w:hint="eastAsia" w:ascii="宋体" w:hAnsi="宋体" w:cs="宋体"/>
          <w:b w:val="0"/>
          <w:spacing w:val="-2"/>
          <w:sz w:val="28"/>
          <w:szCs w:val="28"/>
        </w:rPr>
        <w:t>完成本专业教学计划中规定的内容，应修满127个学分方可毕业。思想品德和鉴定合格，发放毕业证书。</w:t>
      </w:r>
      <w:bookmarkEnd w:id="42"/>
    </w:p>
    <w:p>
      <w:pPr>
        <w:pStyle w:val="13"/>
        <w:tabs>
          <w:tab w:val="center" w:pos="4153"/>
        </w:tabs>
        <w:spacing w:before="0" w:after="0" w:line="560" w:lineRule="exact"/>
        <w:ind w:firstLine="552" w:firstLineChars="200"/>
        <w:jc w:val="left"/>
        <w:outlineLvl w:val="9"/>
        <w:rPr>
          <w:rFonts w:ascii="宋体" w:hAnsi="宋体" w:cs="宋体"/>
          <w:b w:val="0"/>
          <w:spacing w:val="-2"/>
          <w:sz w:val="28"/>
          <w:szCs w:val="28"/>
        </w:rPr>
      </w:pPr>
      <w:bookmarkStart w:id="43" w:name="_Toc76052156"/>
      <w:r>
        <w:rPr>
          <w:rFonts w:hint="eastAsia" w:ascii="宋体" w:hAnsi="宋体" w:cs="宋体"/>
          <w:b w:val="0"/>
          <w:spacing w:val="-2"/>
          <w:sz w:val="28"/>
          <w:szCs w:val="28"/>
        </w:rPr>
        <w:t>鼓励获取该专业要求的职业技能鉴定资格证书（详情见表4-2）或其它类别职业技能鉴定资格证书。</w:t>
      </w:r>
      <w:bookmarkEnd w:id="43"/>
    </w:p>
    <w:sectPr>
      <w:pgSz w:w="11906" w:h="16838"/>
      <w:pgMar w:top="1440" w:right="1797" w:bottom="1440" w:left="1797" w:header="851" w:footer="1559"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jc w:val="center"/>
      <w:rPr>
        <w:rStyle w:val="18"/>
      </w:rPr>
    </w:pPr>
    <w:r>
      <w:fldChar w:fldCharType="begin"/>
    </w:r>
    <w:r>
      <w:rPr>
        <w:rStyle w:val="18"/>
      </w:rPr>
      <w:instrText xml:space="preserve">PAGE  </w:instrText>
    </w:r>
    <w:r>
      <w:fldChar w:fldCharType="separate"/>
    </w:r>
    <w:r>
      <w:rPr>
        <w:rStyle w:val="18"/>
      </w:rPr>
      <w:t>32</w:t>
    </w:r>
    <w:r>
      <w:fldChar w:fldCharType="end"/>
    </w:r>
  </w:p>
  <w:p>
    <w:pPr>
      <w:pStyle w:val="8"/>
      <w:ind w:right="360" w:firstLine="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FF54F4"/>
    <w:multiLevelType w:val="multilevel"/>
    <w:tmpl w:val="7EFF54F4"/>
    <w:lvl w:ilvl="0" w:tentative="0">
      <w:start w:val="1"/>
      <w:numFmt w:val="decimal"/>
      <w:pStyle w:val="3"/>
      <w:lvlText w:val="%1."/>
      <w:lvlJc w:val="left"/>
      <w:pPr>
        <w:ind w:left="480" w:hanging="36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HorizontalSpacing w:val="140"/>
  <w:drawingGridVerticalSpacing w:val="381"/>
  <w:displayHorizont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2B"/>
    <w:rsid w:val="000217C0"/>
    <w:rsid w:val="00021D5F"/>
    <w:rsid w:val="00022024"/>
    <w:rsid w:val="00023D14"/>
    <w:rsid w:val="00024322"/>
    <w:rsid w:val="000255E1"/>
    <w:rsid w:val="00033F8A"/>
    <w:rsid w:val="00034858"/>
    <w:rsid w:val="00035D55"/>
    <w:rsid w:val="00042514"/>
    <w:rsid w:val="000446FF"/>
    <w:rsid w:val="000529A9"/>
    <w:rsid w:val="00055C5A"/>
    <w:rsid w:val="0005625D"/>
    <w:rsid w:val="00056C4B"/>
    <w:rsid w:val="000572BF"/>
    <w:rsid w:val="000619C7"/>
    <w:rsid w:val="000631CC"/>
    <w:rsid w:val="0007524B"/>
    <w:rsid w:val="000831F2"/>
    <w:rsid w:val="00084CCB"/>
    <w:rsid w:val="00085CC5"/>
    <w:rsid w:val="00087320"/>
    <w:rsid w:val="0009761D"/>
    <w:rsid w:val="000A5158"/>
    <w:rsid w:val="000A5E7D"/>
    <w:rsid w:val="000B0C8A"/>
    <w:rsid w:val="000B70E1"/>
    <w:rsid w:val="000C40BF"/>
    <w:rsid w:val="000D15FC"/>
    <w:rsid w:val="000D5EE2"/>
    <w:rsid w:val="000E36DD"/>
    <w:rsid w:val="000F0790"/>
    <w:rsid w:val="000F3BFA"/>
    <w:rsid w:val="000F54E4"/>
    <w:rsid w:val="000F6794"/>
    <w:rsid w:val="00100BE0"/>
    <w:rsid w:val="001026A1"/>
    <w:rsid w:val="001060E0"/>
    <w:rsid w:val="00114BD6"/>
    <w:rsid w:val="0011619A"/>
    <w:rsid w:val="00121E1F"/>
    <w:rsid w:val="001226E3"/>
    <w:rsid w:val="00130C4D"/>
    <w:rsid w:val="00131297"/>
    <w:rsid w:val="00141C08"/>
    <w:rsid w:val="00147805"/>
    <w:rsid w:val="00153783"/>
    <w:rsid w:val="00154130"/>
    <w:rsid w:val="00155378"/>
    <w:rsid w:val="00162980"/>
    <w:rsid w:val="00171E11"/>
    <w:rsid w:val="001744B2"/>
    <w:rsid w:val="00180530"/>
    <w:rsid w:val="00181CE9"/>
    <w:rsid w:val="00181EA1"/>
    <w:rsid w:val="00182229"/>
    <w:rsid w:val="00183A1F"/>
    <w:rsid w:val="00184A32"/>
    <w:rsid w:val="001855B0"/>
    <w:rsid w:val="0018593F"/>
    <w:rsid w:val="001863C1"/>
    <w:rsid w:val="00186FD1"/>
    <w:rsid w:val="00187AFB"/>
    <w:rsid w:val="00191B0A"/>
    <w:rsid w:val="00195373"/>
    <w:rsid w:val="001A2447"/>
    <w:rsid w:val="001A464C"/>
    <w:rsid w:val="001C2C12"/>
    <w:rsid w:val="001C5FCB"/>
    <w:rsid w:val="001D18AD"/>
    <w:rsid w:val="001D25AC"/>
    <w:rsid w:val="001D3937"/>
    <w:rsid w:val="001D7906"/>
    <w:rsid w:val="001E3544"/>
    <w:rsid w:val="001E42CD"/>
    <w:rsid w:val="00200748"/>
    <w:rsid w:val="00201B46"/>
    <w:rsid w:val="00203FC3"/>
    <w:rsid w:val="00206ACF"/>
    <w:rsid w:val="00216566"/>
    <w:rsid w:val="00231261"/>
    <w:rsid w:val="0023643D"/>
    <w:rsid w:val="002563A4"/>
    <w:rsid w:val="00260795"/>
    <w:rsid w:val="0026789A"/>
    <w:rsid w:val="0027033E"/>
    <w:rsid w:val="00276C5C"/>
    <w:rsid w:val="002776C4"/>
    <w:rsid w:val="0028002D"/>
    <w:rsid w:val="002804C5"/>
    <w:rsid w:val="002918B2"/>
    <w:rsid w:val="00297A36"/>
    <w:rsid w:val="002A1422"/>
    <w:rsid w:val="002A355A"/>
    <w:rsid w:val="002A627D"/>
    <w:rsid w:val="002A69BF"/>
    <w:rsid w:val="002B0B03"/>
    <w:rsid w:val="002B581D"/>
    <w:rsid w:val="002C124D"/>
    <w:rsid w:val="002C2B45"/>
    <w:rsid w:val="002C3D33"/>
    <w:rsid w:val="002D0A53"/>
    <w:rsid w:val="002D1DC2"/>
    <w:rsid w:val="002D5D14"/>
    <w:rsid w:val="003025F1"/>
    <w:rsid w:val="00314A95"/>
    <w:rsid w:val="003160FE"/>
    <w:rsid w:val="003340D3"/>
    <w:rsid w:val="00334312"/>
    <w:rsid w:val="00341BAF"/>
    <w:rsid w:val="0034272F"/>
    <w:rsid w:val="00347B0B"/>
    <w:rsid w:val="00350A2B"/>
    <w:rsid w:val="003521F5"/>
    <w:rsid w:val="00356E5B"/>
    <w:rsid w:val="003610DC"/>
    <w:rsid w:val="00366E6C"/>
    <w:rsid w:val="00376AAD"/>
    <w:rsid w:val="003814C5"/>
    <w:rsid w:val="003833A0"/>
    <w:rsid w:val="003844AF"/>
    <w:rsid w:val="003872A8"/>
    <w:rsid w:val="00387B6F"/>
    <w:rsid w:val="00393C0B"/>
    <w:rsid w:val="00393CE2"/>
    <w:rsid w:val="00396067"/>
    <w:rsid w:val="00397309"/>
    <w:rsid w:val="003A7E97"/>
    <w:rsid w:val="003B0283"/>
    <w:rsid w:val="003B0832"/>
    <w:rsid w:val="003B3AB1"/>
    <w:rsid w:val="003B6AF3"/>
    <w:rsid w:val="003C55EC"/>
    <w:rsid w:val="003D0965"/>
    <w:rsid w:val="003D14A8"/>
    <w:rsid w:val="003D7417"/>
    <w:rsid w:val="003E0403"/>
    <w:rsid w:val="003E1563"/>
    <w:rsid w:val="00401ABB"/>
    <w:rsid w:val="0041684B"/>
    <w:rsid w:val="00417E72"/>
    <w:rsid w:val="004202F7"/>
    <w:rsid w:val="004225A3"/>
    <w:rsid w:val="00425D37"/>
    <w:rsid w:val="00427D55"/>
    <w:rsid w:val="004306CE"/>
    <w:rsid w:val="00431847"/>
    <w:rsid w:val="004332AE"/>
    <w:rsid w:val="00444D93"/>
    <w:rsid w:val="004543B5"/>
    <w:rsid w:val="0046525D"/>
    <w:rsid w:val="00474691"/>
    <w:rsid w:val="00483D82"/>
    <w:rsid w:val="00491024"/>
    <w:rsid w:val="004928F1"/>
    <w:rsid w:val="004A2174"/>
    <w:rsid w:val="004A2A13"/>
    <w:rsid w:val="004A3B6B"/>
    <w:rsid w:val="004A4FF6"/>
    <w:rsid w:val="004B08B7"/>
    <w:rsid w:val="004B2230"/>
    <w:rsid w:val="004B5D4B"/>
    <w:rsid w:val="004C3208"/>
    <w:rsid w:val="004D26BC"/>
    <w:rsid w:val="004D55A3"/>
    <w:rsid w:val="004D58AE"/>
    <w:rsid w:val="004D67F1"/>
    <w:rsid w:val="004E0222"/>
    <w:rsid w:val="004E07D4"/>
    <w:rsid w:val="004E1234"/>
    <w:rsid w:val="004F224A"/>
    <w:rsid w:val="004F4A6E"/>
    <w:rsid w:val="005008CB"/>
    <w:rsid w:val="00504681"/>
    <w:rsid w:val="00505BF7"/>
    <w:rsid w:val="00510F46"/>
    <w:rsid w:val="00516F35"/>
    <w:rsid w:val="005225F1"/>
    <w:rsid w:val="00523833"/>
    <w:rsid w:val="00523B66"/>
    <w:rsid w:val="0053340F"/>
    <w:rsid w:val="005374F1"/>
    <w:rsid w:val="0054106A"/>
    <w:rsid w:val="005434D9"/>
    <w:rsid w:val="00544E27"/>
    <w:rsid w:val="00550AEC"/>
    <w:rsid w:val="00550CAB"/>
    <w:rsid w:val="005531D0"/>
    <w:rsid w:val="00553E7F"/>
    <w:rsid w:val="00554152"/>
    <w:rsid w:val="00556404"/>
    <w:rsid w:val="0056059A"/>
    <w:rsid w:val="00570FD2"/>
    <w:rsid w:val="00575028"/>
    <w:rsid w:val="0058245A"/>
    <w:rsid w:val="00583353"/>
    <w:rsid w:val="00586875"/>
    <w:rsid w:val="00590AFC"/>
    <w:rsid w:val="00592996"/>
    <w:rsid w:val="00592BC3"/>
    <w:rsid w:val="0059396C"/>
    <w:rsid w:val="00593F3B"/>
    <w:rsid w:val="005A29E7"/>
    <w:rsid w:val="005B0CFF"/>
    <w:rsid w:val="005B7FA9"/>
    <w:rsid w:val="005C0D19"/>
    <w:rsid w:val="005C1F43"/>
    <w:rsid w:val="005C4B13"/>
    <w:rsid w:val="005D42EA"/>
    <w:rsid w:val="005D75B1"/>
    <w:rsid w:val="005D7ACB"/>
    <w:rsid w:val="005E5508"/>
    <w:rsid w:val="005F3433"/>
    <w:rsid w:val="005F4EC4"/>
    <w:rsid w:val="00603890"/>
    <w:rsid w:val="00604D53"/>
    <w:rsid w:val="00607CDD"/>
    <w:rsid w:val="00614198"/>
    <w:rsid w:val="00615A54"/>
    <w:rsid w:val="00617391"/>
    <w:rsid w:val="00617A37"/>
    <w:rsid w:val="006212C3"/>
    <w:rsid w:val="00622051"/>
    <w:rsid w:val="00622118"/>
    <w:rsid w:val="00622539"/>
    <w:rsid w:val="00626376"/>
    <w:rsid w:val="0063286E"/>
    <w:rsid w:val="0063503B"/>
    <w:rsid w:val="00635A9D"/>
    <w:rsid w:val="00651056"/>
    <w:rsid w:val="006540C5"/>
    <w:rsid w:val="00656E5D"/>
    <w:rsid w:val="00660A81"/>
    <w:rsid w:val="00661A52"/>
    <w:rsid w:val="00670FF3"/>
    <w:rsid w:val="00674CA4"/>
    <w:rsid w:val="0067661B"/>
    <w:rsid w:val="006A1095"/>
    <w:rsid w:val="006A6631"/>
    <w:rsid w:val="006B4B13"/>
    <w:rsid w:val="006B64B2"/>
    <w:rsid w:val="006B652B"/>
    <w:rsid w:val="006C038E"/>
    <w:rsid w:val="006C08E7"/>
    <w:rsid w:val="006C5C32"/>
    <w:rsid w:val="006D540F"/>
    <w:rsid w:val="006D58B3"/>
    <w:rsid w:val="006D605A"/>
    <w:rsid w:val="006D6E40"/>
    <w:rsid w:val="006E5739"/>
    <w:rsid w:val="006F3657"/>
    <w:rsid w:val="00702B9F"/>
    <w:rsid w:val="00722C71"/>
    <w:rsid w:val="00726C4B"/>
    <w:rsid w:val="00726E57"/>
    <w:rsid w:val="007278DA"/>
    <w:rsid w:val="007304B2"/>
    <w:rsid w:val="00743E8A"/>
    <w:rsid w:val="00745E05"/>
    <w:rsid w:val="0075392C"/>
    <w:rsid w:val="00754F6A"/>
    <w:rsid w:val="0077380E"/>
    <w:rsid w:val="007771D3"/>
    <w:rsid w:val="0077759A"/>
    <w:rsid w:val="007839D5"/>
    <w:rsid w:val="00787D66"/>
    <w:rsid w:val="00795C49"/>
    <w:rsid w:val="00796264"/>
    <w:rsid w:val="007A7E9C"/>
    <w:rsid w:val="007B56B0"/>
    <w:rsid w:val="007C34AC"/>
    <w:rsid w:val="007C43B8"/>
    <w:rsid w:val="007C7F58"/>
    <w:rsid w:val="007D4820"/>
    <w:rsid w:val="007F21F6"/>
    <w:rsid w:val="007F32FB"/>
    <w:rsid w:val="007F6DE3"/>
    <w:rsid w:val="00801CB2"/>
    <w:rsid w:val="00807CDA"/>
    <w:rsid w:val="00811489"/>
    <w:rsid w:val="0081435E"/>
    <w:rsid w:val="00820064"/>
    <w:rsid w:val="00826851"/>
    <w:rsid w:val="00826AB6"/>
    <w:rsid w:val="00827917"/>
    <w:rsid w:val="008323BE"/>
    <w:rsid w:val="00832A86"/>
    <w:rsid w:val="008338D5"/>
    <w:rsid w:val="008363CB"/>
    <w:rsid w:val="00837EA0"/>
    <w:rsid w:val="00844F32"/>
    <w:rsid w:val="00845351"/>
    <w:rsid w:val="008538D0"/>
    <w:rsid w:val="00853B5B"/>
    <w:rsid w:val="00854EA0"/>
    <w:rsid w:val="00856EB7"/>
    <w:rsid w:val="0086251A"/>
    <w:rsid w:val="00871094"/>
    <w:rsid w:val="00873055"/>
    <w:rsid w:val="00873FE0"/>
    <w:rsid w:val="008771AF"/>
    <w:rsid w:val="0088752E"/>
    <w:rsid w:val="008A3AEC"/>
    <w:rsid w:val="008A4C87"/>
    <w:rsid w:val="008A5F27"/>
    <w:rsid w:val="008B6AD8"/>
    <w:rsid w:val="008C563E"/>
    <w:rsid w:val="008C74D7"/>
    <w:rsid w:val="008D0D8C"/>
    <w:rsid w:val="008D2B3B"/>
    <w:rsid w:val="008D39C9"/>
    <w:rsid w:val="008D5077"/>
    <w:rsid w:val="008E0027"/>
    <w:rsid w:val="008E3755"/>
    <w:rsid w:val="008F1A30"/>
    <w:rsid w:val="008F70B9"/>
    <w:rsid w:val="009016F8"/>
    <w:rsid w:val="00901E17"/>
    <w:rsid w:val="00903ED8"/>
    <w:rsid w:val="00907E1C"/>
    <w:rsid w:val="009114B4"/>
    <w:rsid w:val="00921A6F"/>
    <w:rsid w:val="0092238F"/>
    <w:rsid w:val="009323E2"/>
    <w:rsid w:val="00932F29"/>
    <w:rsid w:val="009362ED"/>
    <w:rsid w:val="009363BC"/>
    <w:rsid w:val="00941541"/>
    <w:rsid w:val="00952295"/>
    <w:rsid w:val="00953C06"/>
    <w:rsid w:val="00954CCA"/>
    <w:rsid w:val="0095654B"/>
    <w:rsid w:val="009656CF"/>
    <w:rsid w:val="00971AFF"/>
    <w:rsid w:val="009724A3"/>
    <w:rsid w:val="00972A9A"/>
    <w:rsid w:val="00976BA6"/>
    <w:rsid w:val="00980CCC"/>
    <w:rsid w:val="00981555"/>
    <w:rsid w:val="00984A22"/>
    <w:rsid w:val="009855C0"/>
    <w:rsid w:val="009862B6"/>
    <w:rsid w:val="009A1009"/>
    <w:rsid w:val="009A1A5B"/>
    <w:rsid w:val="009A5A62"/>
    <w:rsid w:val="009A6E09"/>
    <w:rsid w:val="009B4083"/>
    <w:rsid w:val="009C2D7A"/>
    <w:rsid w:val="009D2743"/>
    <w:rsid w:val="009D4657"/>
    <w:rsid w:val="009E0BBC"/>
    <w:rsid w:val="009E1BF5"/>
    <w:rsid w:val="009E52B6"/>
    <w:rsid w:val="009E55D9"/>
    <w:rsid w:val="009F3523"/>
    <w:rsid w:val="009F4733"/>
    <w:rsid w:val="00A00225"/>
    <w:rsid w:val="00A01B46"/>
    <w:rsid w:val="00A02682"/>
    <w:rsid w:val="00A035AD"/>
    <w:rsid w:val="00A05ACC"/>
    <w:rsid w:val="00A07E63"/>
    <w:rsid w:val="00A145BE"/>
    <w:rsid w:val="00A149CC"/>
    <w:rsid w:val="00A15D5A"/>
    <w:rsid w:val="00A27104"/>
    <w:rsid w:val="00A40E08"/>
    <w:rsid w:val="00A412F3"/>
    <w:rsid w:val="00A4148D"/>
    <w:rsid w:val="00A653B6"/>
    <w:rsid w:val="00A76D31"/>
    <w:rsid w:val="00A921ED"/>
    <w:rsid w:val="00A9398B"/>
    <w:rsid w:val="00A94FFC"/>
    <w:rsid w:val="00AA2DC4"/>
    <w:rsid w:val="00AA53FB"/>
    <w:rsid w:val="00AB51B4"/>
    <w:rsid w:val="00AC5ADA"/>
    <w:rsid w:val="00AC6818"/>
    <w:rsid w:val="00AD1663"/>
    <w:rsid w:val="00AD253C"/>
    <w:rsid w:val="00AD2B7B"/>
    <w:rsid w:val="00AD3586"/>
    <w:rsid w:val="00AD436D"/>
    <w:rsid w:val="00AD4921"/>
    <w:rsid w:val="00AE2C3D"/>
    <w:rsid w:val="00AE75F5"/>
    <w:rsid w:val="00AF4AC0"/>
    <w:rsid w:val="00AF6FC1"/>
    <w:rsid w:val="00AF7D3D"/>
    <w:rsid w:val="00B003E7"/>
    <w:rsid w:val="00B0100C"/>
    <w:rsid w:val="00B01C8E"/>
    <w:rsid w:val="00B03CBD"/>
    <w:rsid w:val="00B069D2"/>
    <w:rsid w:val="00B1167C"/>
    <w:rsid w:val="00B2051B"/>
    <w:rsid w:val="00B20713"/>
    <w:rsid w:val="00B208E9"/>
    <w:rsid w:val="00B24495"/>
    <w:rsid w:val="00B2521D"/>
    <w:rsid w:val="00B2741C"/>
    <w:rsid w:val="00B3055B"/>
    <w:rsid w:val="00B40841"/>
    <w:rsid w:val="00B41EDC"/>
    <w:rsid w:val="00B4386F"/>
    <w:rsid w:val="00B53A97"/>
    <w:rsid w:val="00B6145A"/>
    <w:rsid w:val="00B63A0B"/>
    <w:rsid w:val="00B64AF5"/>
    <w:rsid w:val="00B720B4"/>
    <w:rsid w:val="00B96881"/>
    <w:rsid w:val="00BA2CD2"/>
    <w:rsid w:val="00BA7CF9"/>
    <w:rsid w:val="00BB197E"/>
    <w:rsid w:val="00BB5737"/>
    <w:rsid w:val="00BC1182"/>
    <w:rsid w:val="00BE2F7C"/>
    <w:rsid w:val="00BE3531"/>
    <w:rsid w:val="00BF4ECA"/>
    <w:rsid w:val="00BF5B45"/>
    <w:rsid w:val="00C03C55"/>
    <w:rsid w:val="00C14992"/>
    <w:rsid w:val="00C175F1"/>
    <w:rsid w:val="00C23873"/>
    <w:rsid w:val="00C40965"/>
    <w:rsid w:val="00C44C32"/>
    <w:rsid w:val="00C72E70"/>
    <w:rsid w:val="00C73ADD"/>
    <w:rsid w:val="00C74EF6"/>
    <w:rsid w:val="00C75375"/>
    <w:rsid w:val="00C76230"/>
    <w:rsid w:val="00C77EE3"/>
    <w:rsid w:val="00C808F2"/>
    <w:rsid w:val="00C95908"/>
    <w:rsid w:val="00C96042"/>
    <w:rsid w:val="00CA1174"/>
    <w:rsid w:val="00CA2759"/>
    <w:rsid w:val="00CA3692"/>
    <w:rsid w:val="00CB5BEA"/>
    <w:rsid w:val="00CC6032"/>
    <w:rsid w:val="00CD064B"/>
    <w:rsid w:val="00CD1142"/>
    <w:rsid w:val="00CD7EE8"/>
    <w:rsid w:val="00CE04DD"/>
    <w:rsid w:val="00CE0F7C"/>
    <w:rsid w:val="00CF45ED"/>
    <w:rsid w:val="00D10878"/>
    <w:rsid w:val="00D12057"/>
    <w:rsid w:val="00D12F04"/>
    <w:rsid w:val="00D1503A"/>
    <w:rsid w:val="00D34D12"/>
    <w:rsid w:val="00D4000B"/>
    <w:rsid w:val="00D5361B"/>
    <w:rsid w:val="00D55038"/>
    <w:rsid w:val="00D7061A"/>
    <w:rsid w:val="00D70C46"/>
    <w:rsid w:val="00D754E0"/>
    <w:rsid w:val="00D81551"/>
    <w:rsid w:val="00D87326"/>
    <w:rsid w:val="00D87520"/>
    <w:rsid w:val="00D956E2"/>
    <w:rsid w:val="00DA147D"/>
    <w:rsid w:val="00DA3C50"/>
    <w:rsid w:val="00DA61A7"/>
    <w:rsid w:val="00DA64FC"/>
    <w:rsid w:val="00DA7257"/>
    <w:rsid w:val="00DA7CD8"/>
    <w:rsid w:val="00DB1893"/>
    <w:rsid w:val="00DB5962"/>
    <w:rsid w:val="00DB7BE3"/>
    <w:rsid w:val="00DC2E68"/>
    <w:rsid w:val="00DC65E2"/>
    <w:rsid w:val="00DC660B"/>
    <w:rsid w:val="00DD3B85"/>
    <w:rsid w:val="00DD3EDB"/>
    <w:rsid w:val="00DE6FDC"/>
    <w:rsid w:val="00DF1426"/>
    <w:rsid w:val="00DF3AC8"/>
    <w:rsid w:val="00DF5AC1"/>
    <w:rsid w:val="00DF7E7A"/>
    <w:rsid w:val="00E03E84"/>
    <w:rsid w:val="00E05596"/>
    <w:rsid w:val="00E21DFF"/>
    <w:rsid w:val="00E226C6"/>
    <w:rsid w:val="00E240DA"/>
    <w:rsid w:val="00E259DC"/>
    <w:rsid w:val="00E36CAF"/>
    <w:rsid w:val="00E36F10"/>
    <w:rsid w:val="00E3782F"/>
    <w:rsid w:val="00E50472"/>
    <w:rsid w:val="00E50EC3"/>
    <w:rsid w:val="00E63F90"/>
    <w:rsid w:val="00E67B94"/>
    <w:rsid w:val="00E720FE"/>
    <w:rsid w:val="00E7502E"/>
    <w:rsid w:val="00E770A1"/>
    <w:rsid w:val="00E77862"/>
    <w:rsid w:val="00E85740"/>
    <w:rsid w:val="00EA5C4A"/>
    <w:rsid w:val="00EA72B8"/>
    <w:rsid w:val="00EA76C4"/>
    <w:rsid w:val="00EB4EF7"/>
    <w:rsid w:val="00EC097D"/>
    <w:rsid w:val="00EC0E02"/>
    <w:rsid w:val="00EC1F47"/>
    <w:rsid w:val="00EC2097"/>
    <w:rsid w:val="00EC49DC"/>
    <w:rsid w:val="00ED4A32"/>
    <w:rsid w:val="00ED5A4A"/>
    <w:rsid w:val="00ED7DCF"/>
    <w:rsid w:val="00EE0DCB"/>
    <w:rsid w:val="00EE1084"/>
    <w:rsid w:val="00EE121F"/>
    <w:rsid w:val="00EE4385"/>
    <w:rsid w:val="00EE72CB"/>
    <w:rsid w:val="00EF6DEB"/>
    <w:rsid w:val="00F010DB"/>
    <w:rsid w:val="00F03154"/>
    <w:rsid w:val="00F065C4"/>
    <w:rsid w:val="00F0739B"/>
    <w:rsid w:val="00F215E4"/>
    <w:rsid w:val="00F21AFB"/>
    <w:rsid w:val="00F2440A"/>
    <w:rsid w:val="00F31AEE"/>
    <w:rsid w:val="00F407D0"/>
    <w:rsid w:val="00F47390"/>
    <w:rsid w:val="00F52880"/>
    <w:rsid w:val="00F53D36"/>
    <w:rsid w:val="00F65AD1"/>
    <w:rsid w:val="00F70B5A"/>
    <w:rsid w:val="00F73555"/>
    <w:rsid w:val="00F73EDC"/>
    <w:rsid w:val="00F756E7"/>
    <w:rsid w:val="00F82325"/>
    <w:rsid w:val="00F8705D"/>
    <w:rsid w:val="00F876F6"/>
    <w:rsid w:val="00F94FB0"/>
    <w:rsid w:val="00FA6D5F"/>
    <w:rsid w:val="00FB1E30"/>
    <w:rsid w:val="00FB28A5"/>
    <w:rsid w:val="00FC4BBB"/>
    <w:rsid w:val="00FC5EC9"/>
    <w:rsid w:val="00FD4D96"/>
    <w:rsid w:val="00FE1A2C"/>
    <w:rsid w:val="00FE236B"/>
    <w:rsid w:val="00FF40B8"/>
    <w:rsid w:val="02C97EBB"/>
    <w:rsid w:val="03981914"/>
    <w:rsid w:val="05022573"/>
    <w:rsid w:val="05EF4B04"/>
    <w:rsid w:val="07160395"/>
    <w:rsid w:val="07200BB2"/>
    <w:rsid w:val="08AA5E2D"/>
    <w:rsid w:val="0F7B58A0"/>
    <w:rsid w:val="11350A6F"/>
    <w:rsid w:val="11D27801"/>
    <w:rsid w:val="12785215"/>
    <w:rsid w:val="14597202"/>
    <w:rsid w:val="16E97913"/>
    <w:rsid w:val="19F1515C"/>
    <w:rsid w:val="1A6B5190"/>
    <w:rsid w:val="1C18259D"/>
    <w:rsid w:val="1C8239A1"/>
    <w:rsid w:val="1D1140BF"/>
    <w:rsid w:val="1D43586C"/>
    <w:rsid w:val="1EE71612"/>
    <w:rsid w:val="201F737A"/>
    <w:rsid w:val="20A325CF"/>
    <w:rsid w:val="23C6003A"/>
    <w:rsid w:val="27184834"/>
    <w:rsid w:val="27264971"/>
    <w:rsid w:val="28D37703"/>
    <w:rsid w:val="2A4649DF"/>
    <w:rsid w:val="2A742FA8"/>
    <w:rsid w:val="2BC272CF"/>
    <w:rsid w:val="2C106CC8"/>
    <w:rsid w:val="2C903F6B"/>
    <w:rsid w:val="2D0B6630"/>
    <w:rsid w:val="310C644E"/>
    <w:rsid w:val="31AE54B8"/>
    <w:rsid w:val="362B0DBC"/>
    <w:rsid w:val="37D96C8C"/>
    <w:rsid w:val="3BE0050C"/>
    <w:rsid w:val="3CA12707"/>
    <w:rsid w:val="3E023482"/>
    <w:rsid w:val="3E6F62EB"/>
    <w:rsid w:val="3F464C18"/>
    <w:rsid w:val="3F662FBB"/>
    <w:rsid w:val="3FC95EE7"/>
    <w:rsid w:val="415715A2"/>
    <w:rsid w:val="434E01F6"/>
    <w:rsid w:val="4391560F"/>
    <w:rsid w:val="452E6ED6"/>
    <w:rsid w:val="46390788"/>
    <w:rsid w:val="49264199"/>
    <w:rsid w:val="4DF62CD8"/>
    <w:rsid w:val="4FAE18DB"/>
    <w:rsid w:val="500F35FA"/>
    <w:rsid w:val="524902AA"/>
    <w:rsid w:val="54891C25"/>
    <w:rsid w:val="554430CE"/>
    <w:rsid w:val="5CF260AF"/>
    <w:rsid w:val="5D4B602D"/>
    <w:rsid w:val="5DF1523E"/>
    <w:rsid w:val="60FA4EBF"/>
    <w:rsid w:val="65DD5B1C"/>
    <w:rsid w:val="664F34F1"/>
    <w:rsid w:val="667D6739"/>
    <w:rsid w:val="66B30350"/>
    <w:rsid w:val="69376F30"/>
    <w:rsid w:val="6CA61651"/>
    <w:rsid w:val="6F7646B7"/>
    <w:rsid w:val="701E626A"/>
    <w:rsid w:val="706327C1"/>
    <w:rsid w:val="706D693F"/>
    <w:rsid w:val="715C0639"/>
    <w:rsid w:val="76502141"/>
    <w:rsid w:val="7A635E44"/>
    <w:rsid w:val="7B2B423D"/>
    <w:rsid w:val="7D396311"/>
    <w:rsid w:val="7FA52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napToGrid w:val="0"/>
      <w:sz w:val="28"/>
      <w:lang w:val="en-US" w:eastAsia="zh-CN" w:bidi="ar-SA"/>
    </w:rPr>
  </w:style>
  <w:style w:type="paragraph" w:styleId="2">
    <w:name w:val="heading 1"/>
    <w:basedOn w:val="1"/>
    <w:next w:val="1"/>
    <w:qFormat/>
    <w:uiPriority w:val="0"/>
    <w:pPr>
      <w:spacing w:before="120" w:after="120" w:line="360" w:lineRule="auto"/>
      <w:jc w:val="left"/>
      <w:outlineLvl w:val="0"/>
    </w:pPr>
    <w:rPr>
      <w:b/>
      <w:bCs/>
      <w:kern w:val="44"/>
      <w:szCs w:val="21"/>
    </w:rPr>
  </w:style>
  <w:style w:type="paragraph" w:styleId="3">
    <w:name w:val="heading 2"/>
    <w:basedOn w:val="1"/>
    <w:next w:val="1"/>
    <w:qFormat/>
    <w:uiPriority w:val="0"/>
    <w:pPr>
      <w:numPr>
        <w:ilvl w:val="0"/>
        <w:numId w:val="1"/>
      </w:numPr>
      <w:spacing w:line="360" w:lineRule="auto"/>
      <w:jc w:val="left"/>
      <w:outlineLvl w:val="1"/>
    </w:pPr>
    <w:rPr>
      <w:rFonts w:ascii="Cambria" w:hAnsi="Cambria"/>
      <w:b/>
      <w:bCs/>
      <w:szCs w:val="21"/>
    </w:rPr>
  </w:style>
  <w:style w:type="paragraph" w:styleId="4">
    <w:name w:val="heading 3"/>
    <w:basedOn w:val="1"/>
    <w:next w:val="1"/>
    <w:link w:val="23"/>
    <w:semiHidden/>
    <w:unhideWhenUsed/>
    <w:qFormat/>
    <w:uiPriority w:val="0"/>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4"/>
    <w:qFormat/>
    <w:uiPriority w:val="0"/>
    <w:pPr>
      <w:jc w:val="left"/>
    </w:pPr>
  </w:style>
  <w:style w:type="paragraph" w:styleId="6">
    <w:name w:val="toc 3"/>
    <w:basedOn w:val="1"/>
    <w:next w:val="1"/>
    <w:unhideWhenUsed/>
    <w:qFormat/>
    <w:uiPriority w:val="39"/>
    <w:pPr>
      <w:ind w:left="840" w:leftChars="400"/>
    </w:pPr>
    <w:rPr>
      <w:rFonts w:asciiTheme="minorHAnsi" w:hAnsiTheme="minorHAnsi" w:eastAsiaTheme="minorEastAsia" w:cstheme="minorBidi"/>
      <w:snapToGrid/>
      <w:kern w:val="2"/>
      <w:sz w:val="21"/>
      <w:szCs w:val="22"/>
    </w:rPr>
  </w:style>
  <w:style w:type="paragraph" w:styleId="7">
    <w:name w:val="Balloon Text"/>
    <w:basedOn w:val="1"/>
    <w:link w:val="25"/>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tabs>
        <w:tab w:val="right" w:leader="dot" w:pos="8296"/>
      </w:tabs>
    </w:pPr>
  </w:style>
  <w:style w:type="paragraph" w:styleId="11">
    <w:name w:val="toc 2"/>
    <w:basedOn w:val="1"/>
    <w:next w:val="1"/>
    <w:unhideWhenUsed/>
    <w:qFormat/>
    <w:uiPriority w:val="39"/>
    <w:pPr>
      <w:ind w:left="420" w:leftChars="200"/>
    </w:pPr>
  </w:style>
  <w:style w:type="paragraph" w:styleId="12">
    <w:name w:val="Normal (Web)"/>
    <w:basedOn w:val="1"/>
    <w:qFormat/>
    <w:uiPriority w:val="0"/>
    <w:rPr>
      <w:sz w:val="24"/>
    </w:rPr>
  </w:style>
  <w:style w:type="paragraph" w:styleId="13">
    <w:name w:val="Title"/>
    <w:basedOn w:val="1"/>
    <w:next w:val="1"/>
    <w:link w:val="26"/>
    <w:qFormat/>
    <w:uiPriority w:val="10"/>
    <w:pPr>
      <w:spacing w:before="240" w:after="60"/>
      <w:jc w:val="center"/>
      <w:outlineLvl w:val="0"/>
    </w:pPr>
    <w:rPr>
      <w:rFonts w:ascii="Cambria" w:hAnsi="Cambria"/>
      <w:b/>
      <w:bCs/>
      <w:sz w:val="32"/>
      <w:szCs w:val="32"/>
    </w:rPr>
  </w:style>
  <w:style w:type="paragraph" w:styleId="14">
    <w:name w:val="annotation subject"/>
    <w:basedOn w:val="5"/>
    <w:next w:val="5"/>
    <w:link w:val="27"/>
    <w:qFormat/>
    <w:uiPriority w:val="0"/>
    <w:rPr>
      <w:b/>
      <w:bCs/>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FollowedHyperlink"/>
    <w:basedOn w:val="17"/>
    <w:unhideWhenUsed/>
    <w:qFormat/>
    <w:uiPriority w:val="99"/>
    <w:rPr>
      <w:color w:val="800080"/>
      <w:u w:val="single"/>
    </w:rPr>
  </w:style>
  <w:style w:type="character" w:styleId="20">
    <w:name w:val="Emphasis"/>
    <w:basedOn w:val="17"/>
    <w:qFormat/>
    <w:uiPriority w:val="0"/>
    <w:rPr>
      <w:i/>
    </w:rPr>
  </w:style>
  <w:style w:type="character" w:styleId="21">
    <w:name w:val="Hyperlink"/>
    <w:basedOn w:val="17"/>
    <w:unhideWhenUsed/>
    <w:qFormat/>
    <w:uiPriority w:val="99"/>
    <w:rPr>
      <w:color w:val="0000FF"/>
      <w:u w:val="single"/>
    </w:rPr>
  </w:style>
  <w:style w:type="character" w:styleId="22">
    <w:name w:val="annotation reference"/>
    <w:basedOn w:val="17"/>
    <w:qFormat/>
    <w:uiPriority w:val="0"/>
    <w:rPr>
      <w:sz w:val="21"/>
      <w:szCs w:val="21"/>
    </w:rPr>
  </w:style>
  <w:style w:type="character" w:customStyle="1" w:styleId="23">
    <w:name w:val="标题 3 字符"/>
    <w:basedOn w:val="17"/>
    <w:link w:val="4"/>
    <w:semiHidden/>
    <w:qFormat/>
    <w:uiPriority w:val="0"/>
    <w:rPr>
      <w:rFonts w:ascii="宋体" w:hAnsi="宋体" w:eastAsia="宋体" w:cs="Times New Roman"/>
      <w:b/>
      <w:bCs/>
      <w:snapToGrid w:val="0"/>
      <w:sz w:val="32"/>
      <w:szCs w:val="32"/>
    </w:rPr>
  </w:style>
  <w:style w:type="character" w:customStyle="1" w:styleId="24">
    <w:name w:val="批注文字 字符"/>
    <w:basedOn w:val="17"/>
    <w:link w:val="5"/>
    <w:qFormat/>
    <w:uiPriority w:val="0"/>
    <w:rPr>
      <w:rFonts w:ascii="宋体" w:hAnsi="宋体" w:eastAsia="宋体" w:cs="Times New Roman"/>
      <w:snapToGrid w:val="0"/>
      <w:sz w:val="28"/>
    </w:rPr>
  </w:style>
  <w:style w:type="character" w:customStyle="1" w:styleId="25">
    <w:name w:val="批注框文本 字符"/>
    <w:basedOn w:val="17"/>
    <w:link w:val="7"/>
    <w:qFormat/>
    <w:uiPriority w:val="0"/>
    <w:rPr>
      <w:rFonts w:ascii="宋体" w:hAnsi="宋体"/>
      <w:snapToGrid w:val="0"/>
      <w:sz w:val="18"/>
      <w:szCs w:val="18"/>
    </w:rPr>
  </w:style>
  <w:style w:type="character" w:customStyle="1" w:styleId="26">
    <w:name w:val="标题 字符"/>
    <w:basedOn w:val="17"/>
    <w:link w:val="13"/>
    <w:qFormat/>
    <w:uiPriority w:val="10"/>
    <w:rPr>
      <w:rFonts w:ascii="Cambria" w:hAnsi="Cambria"/>
      <w:b/>
      <w:bCs/>
      <w:snapToGrid w:val="0"/>
      <w:sz w:val="32"/>
      <w:szCs w:val="32"/>
    </w:rPr>
  </w:style>
  <w:style w:type="character" w:customStyle="1" w:styleId="27">
    <w:name w:val="批注主题 字符"/>
    <w:basedOn w:val="24"/>
    <w:link w:val="14"/>
    <w:qFormat/>
    <w:uiPriority w:val="0"/>
    <w:rPr>
      <w:rFonts w:ascii="宋体" w:hAnsi="宋体" w:eastAsia="宋体" w:cs="Times New Roman"/>
      <w:b/>
      <w:bCs/>
      <w:snapToGrid w:val="0"/>
      <w:sz w:val="28"/>
    </w:rPr>
  </w:style>
  <w:style w:type="paragraph" w:customStyle="1" w:styleId="28">
    <w:name w:val="Table Paragraph"/>
    <w:basedOn w:val="1"/>
    <w:qFormat/>
    <w:uiPriority w:val="1"/>
    <w:pPr>
      <w:autoSpaceDE w:val="0"/>
      <w:autoSpaceDN w:val="0"/>
      <w:jc w:val="left"/>
    </w:pPr>
    <w:rPr>
      <w:rFonts w:cs="宋体"/>
      <w:sz w:val="22"/>
      <w:szCs w:val="22"/>
      <w:lang w:eastAsia="en-US"/>
    </w:rPr>
  </w:style>
  <w:style w:type="paragraph" w:styleId="29">
    <w:name w:val="List Paragraph"/>
    <w:basedOn w:val="1"/>
    <w:unhideWhenUsed/>
    <w:qFormat/>
    <w:uiPriority w:val="34"/>
    <w:pPr>
      <w:ind w:firstLine="420" w:firstLineChars="200"/>
    </w:pPr>
  </w:style>
  <w:style w:type="paragraph" w:customStyle="1" w:styleId="30">
    <w:name w:val="font5"/>
    <w:basedOn w:val="1"/>
    <w:qFormat/>
    <w:uiPriority w:val="0"/>
    <w:pPr>
      <w:widowControl/>
      <w:spacing w:before="100" w:beforeAutospacing="1" w:after="100" w:afterAutospacing="1"/>
      <w:jc w:val="left"/>
    </w:pPr>
    <w:rPr>
      <w:rFonts w:cs="宋体"/>
      <w:snapToGrid/>
      <w:sz w:val="18"/>
      <w:szCs w:val="18"/>
    </w:rPr>
  </w:style>
  <w:style w:type="paragraph" w:customStyle="1" w:styleId="31">
    <w:name w:val="xl70"/>
    <w:basedOn w:val="1"/>
    <w:qFormat/>
    <w:uiPriority w:val="0"/>
    <w:pPr>
      <w:widowControl/>
      <w:pBdr>
        <w:right w:val="single" w:color="auto" w:sz="8" w:space="0"/>
      </w:pBdr>
      <w:spacing w:before="100" w:beforeAutospacing="1" w:after="100" w:afterAutospacing="1"/>
      <w:jc w:val="center"/>
    </w:pPr>
    <w:rPr>
      <w:rFonts w:cs="宋体"/>
      <w:b/>
      <w:bCs/>
      <w:snapToGrid/>
      <w:sz w:val="18"/>
      <w:szCs w:val="18"/>
    </w:rPr>
  </w:style>
  <w:style w:type="paragraph" w:customStyle="1" w:styleId="32">
    <w:name w:val="xl71"/>
    <w:basedOn w:val="1"/>
    <w:qFormat/>
    <w:uiPriority w:val="0"/>
    <w:pPr>
      <w:widowControl/>
      <w:pBdr>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33">
    <w:name w:val="xl72"/>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4">
    <w:name w:val="xl73"/>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5">
    <w:name w:val="xl74"/>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6">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37">
    <w:name w:val="xl7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38">
    <w:name w:val="xl77"/>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snapToGrid/>
      <w:sz w:val="18"/>
      <w:szCs w:val="18"/>
    </w:rPr>
  </w:style>
  <w:style w:type="paragraph" w:customStyle="1" w:styleId="39">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0">
    <w:name w:val="xl79"/>
    <w:basedOn w:val="1"/>
    <w:qFormat/>
    <w:uiPriority w:val="0"/>
    <w:pPr>
      <w:widowControl/>
      <w:pBdr>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1">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2">
    <w:name w:val="xl81"/>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cs="宋体"/>
      <w:b/>
      <w:bCs/>
      <w:snapToGrid/>
      <w:sz w:val="18"/>
      <w:szCs w:val="18"/>
    </w:rPr>
  </w:style>
  <w:style w:type="paragraph" w:customStyle="1" w:styleId="43">
    <w:name w:val="xl82"/>
    <w:basedOn w:val="1"/>
    <w:qFormat/>
    <w:uiPriority w:val="0"/>
    <w:pPr>
      <w:widowControl/>
      <w:pBdr>
        <w:top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44">
    <w:name w:val="xl83"/>
    <w:basedOn w:val="1"/>
    <w:qFormat/>
    <w:uiPriority w:val="0"/>
    <w:pPr>
      <w:widowControl/>
      <w:pBdr>
        <w:top w:val="single" w:color="auto" w:sz="8" w:space="0"/>
        <w:bottom w:val="single" w:color="auto" w:sz="8" w:space="0"/>
        <w:right w:val="single" w:color="000000" w:sz="8" w:space="0"/>
      </w:pBdr>
      <w:spacing w:before="100" w:beforeAutospacing="1" w:after="100" w:afterAutospacing="1"/>
      <w:jc w:val="center"/>
    </w:pPr>
    <w:rPr>
      <w:rFonts w:cs="宋体"/>
      <w:b/>
      <w:bCs/>
      <w:snapToGrid/>
      <w:sz w:val="18"/>
      <w:szCs w:val="18"/>
    </w:rPr>
  </w:style>
  <w:style w:type="paragraph" w:customStyle="1" w:styleId="45">
    <w:name w:val="xl84"/>
    <w:basedOn w:val="1"/>
    <w:qFormat/>
    <w:uiPriority w:val="0"/>
    <w:pPr>
      <w:widowControl/>
      <w:pBdr>
        <w:top w:val="single" w:color="auto" w:sz="8" w:space="0"/>
        <w:left w:val="single" w:color="000000" w:sz="8" w:space="0"/>
        <w:bottom w:val="single" w:color="auto" w:sz="8" w:space="0"/>
      </w:pBdr>
      <w:spacing w:before="100" w:beforeAutospacing="1" w:after="100" w:afterAutospacing="1"/>
      <w:jc w:val="center"/>
    </w:pPr>
    <w:rPr>
      <w:rFonts w:cs="宋体"/>
      <w:b/>
      <w:bCs/>
      <w:snapToGrid/>
      <w:sz w:val="18"/>
      <w:szCs w:val="18"/>
    </w:rPr>
  </w:style>
  <w:style w:type="paragraph" w:customStyle="1" w:styleId="46">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47">
    <w:name w:val="xl86"/>
    <w:basedOn w:val="1"/>
    <w:qFormat/>
    <w:uiPriority w:val="0"/>
    <w:pPr>
      <w:widowControl/>
      <w:pBdr>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48">
    <w:name w:val="xl63"/>
    <w:basedOn w:val="1"/>
    <w:qFormat/>
    <w:uiPriority w:val="0"/>
    <w:pPr>
      <w:widowControl/>
      <w:pBdr>
        <w:bottom w:val="single" w:color="000000" w:sz="8" w:space="0"/>
        <w:right w:val="single" w:color="000000" w:sz="8" w:space="0"/>
      </w:pBdr>
      <w:spacing w:before="100" w:beforeAutospacing="1" w:after="100" w:afterAutospacing="1"/>
      <w:jc w:val="left"/>
    </w:pPr>
    <w:rPr>
      <w:rFonts w:cs="宋体"/>
      <w:snapToGrid/>
      <w:sz w:val="24"/>
      <w:szCs w:val="24"/>
    </w:rPr>
  </w:style>
  <w:style w:type="paragraph" w:customStyle="1" w:styleId="49">
    <w:name w:val="xl64"/>
    <w:basedOn w:val="1"/>
    <w:qFormat/>
    <w:uiPriority w:val="0"/>
    <w:pPr>
      <w:widowControl/>
      <w:pBdr>
        <w:bottom w:val="single" w:color="000000" w:sz="8" w:space="0"/>
        <w:right w:val="single" w:color="000000" w:sz="8" w:space="0"/>
      </w:pBdr>
      <w:spacing w:before="100" w:beforeAutospacing="1" w:after="100" w:afterAutospacing="1"/>
      <w:jc w:val="center"/>
    </w:pPr>
    <w:rPr>
      <w:rFonts w:ascii="仿宋_GB2312" w:eastAsia="仿宋_GB2312" w:cs="宋体"/>
      <w:snapToGrid/>
      <w:color w:val="000000"/>
      <w:sz w:val="21"/>
      <w:szCs w:val="21"/>
    </w:rPr>
  </w:style>
  <w:style w:type="paragraph" w:customStyle="1" w:styleId="50">
    <w:name w:val="xl65"/>
    <w:basedOn w:val="1"/>
    <w:qFormat/>
    <w:uiPriority w:val="0"/>
    <w:pPr>
      <w:widowControl/>
      <w:pBdr>
        <w:top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1">
    <w:name w:val="xl66"/>
    <w:basedOn w:val="1"/>
    <w:qFormat/>
    <w:uiPriority w:val="0"/>
    <w:pPr>
      <w:widowControl/>
      <w:pBdr>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2">
    <w:name w:val="xl67"/>
    <w:basedOn w:val="1"/>
    <w:qFormat/>
    <w:uiPriority w:val="0"/>
    <w:pPr>
      <w:widowControl/>
      <w:pBdr>
        <w:right w:val="single" w:color="000000" w:sz="8" w:space="0"/>
      </w:pBdr>
      <w:spacing w:before="100" w:beforeAutospacing="1" w:after="100" w:afterAutospacing="1"/>
      <w:jc w:val="left"/>
    </w:pPr>
    <w:rPr>
      <w:rFonts w:ascii="仿宋" w:hAnsi="仿宋" w:eastAsia="仿宋" w:cs="宋体"/>
      <w:snapToGrid/>
      <w:sz w:val="24"/>
      <w:szCs w:val="24"/>
    </w:rPr>
  </w:style>
  <w:style w:type="paragraph" w:customStyle="1" w:styleId="53">
    <w:name w:val="xl68"/>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4">
    <w:name w:val="xl6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5">
    <w:name w:val="xl87"/>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6">
    <w:name w:val="xl88"/>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7">
    <w:name w:val="xl8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left"/>
    </w:pPr>
    <w:rPr>
      <w:rFonts w:ascii="仿宋" w:hAnsi="仿宋" w:eastAsia="仿宋" w:cs="宋体"/>
      <w:b/>
      <w:bCs/>
      <w:snapToGrid/>
      <w:color w:val="000000"/>
      <w:sz w:val="21"/>
      <w:szCs w:val="21"/>
    </w:rPr>
  </w:style>
  <w:style w:type="paragraph" w:customStyle="1" w:styleId="58">
    <w:name w:val="xl90"/>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24"/>
      <w:szCs w:val="24"/>
    </w:rPr>
  </w:style>
  <w:style w:type="paragraph" w:customStyle="1" w:styleId="59">
    <w:name w:val="xl91"/>
    <w:basedOn w:val="1"/>
    <w:qFormat/>
    <w:uiPriority w:val="0"/>
    <w:pPr>
      <w:widowControl/>
      <w:pBdr>
        <w:top w:val="single" w:color="000000" w:sz="8" w:space="0"/>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0">
    <w:name w:val="xl92"/>
    <w:basedOn w:val="1"/>
    <w:qFormat/>
    <w:uiPriority w:val="0"/>
    <w:pPr>
      <w:widowControl/>
      <w:pBdr>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1">
    <w:name w:val="xl93"/>
    <w:basedOn w:val="1"/>
    <w:qFormat/>
    <w:uiPriority w:val="0"/>
    <w:pPr>
      <w:widowControl/>
      <w:pBdr>
        <w:left w:val="single" w:color="000000" w:sz="8" w:space="0"/>
        <w:bottom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2">
    <w:name w:val="xl94"/>
    <w:basedOn w:val="1"/>
    <w:qFormat/>
    <w:uiPriority w:val="0"/>
    <w:pPr>
      <w:widowControl/>
      <w:pBdr>
        <w:bottom w:val="single" w:color="auto" w:sz="8" w:space="0"/>
        <w:right w:val="single" w:color="000000" w:sz="12"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3">
    <w:name w:val="xl95"/>
    <w:basedOn w:val="1"/>
    <w:qFormat/>
    <w:uiPriority w:val="0"/>
    <w:pPr>
      <w:widowControl/>
      <w:pBdr>
        <w:top w:val="single" w:color="000000" w:sz="8" w:space="0"/>
        <w:left w:val="single" w:color="000000" w:sz="12"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4">
    <w:name w:val="xl96"/>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5">
    <w:name w:val="xl97"/>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6">
    <w:name w:val="xl98"/>
    <w:basedOn w:val="1"/>
    <w:qFormat/>
    <w:uiPriority w:val="0"/>
    <w:pPr>
      <w:widowControl/>
      <w:pBdr>
        <w:top w:val="single" w:color="auto" w:sz="8" w:space="0"/>
        <w:left w:val="single" w:color="000000" w:sz="12"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7">
    <w:name w:val="xl99"/>
    <w:basedOn w:val="1"/>
    <w:qFormat/>
    <w:uiPriority w:val="0"/>
    <w:pPr>
      <w:widowControl/>
      <w:pBdr>
        <w:top w:val="single" w:color="auto" w:sz="8"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8">
    <w:name w:val="xl100"/>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9">
    <w:name w:val="xl10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0">
    <w:name w:val="xl102"/>
    <w:basedOn w:val="1"/>
    <w:qFormat/>
    <w:uiPriority w:val="0"/>
    <w:pPr>
      <w:widowControl/>
      <w:pBdr>
        <w:top w:val="single" w:color="auto" w:sz="8" w:space="0"/>
        <w:left w:val="single" w:color="000000" w:sz="12"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1">
    <w:name w:val="xl103"/>
    <w:basedOn w:val="1"/>
    <w:qFormat/>
    <w:uiPriority w:val="0"/>
    <w:pPr>
      <w:widowControl/>
      <w:pBdr>
        <w:top w:val="single" w:color="auto" w:sz="8"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2">
    <w:name w:val="xl104"/>
    <w:basedOn w:val="1"/>
    <w:qFormat/>
    <w:uiPriority w:val="0"/>
    <w:pPr>
      <w:widowControl/>
      <w:pBdr>
        <w:top w:val="single" w:color="auto" w:sz="8" w:space="0"/>
        <w:bottom w:val="single" w:color="000000" w:sz="12"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3">
    <w:name w:val="xl105"/>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4">
    <w:name w:val="xl106"/>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75">
    <w:name w:val="xl107"/>
    <w:basedOn w:val="1"/>
    <w:qFormat/>
    <w:uiPriority w:val="0"/>
    <w:pPr>
      <w:widowControl/>
      <w:pBdr>
        <w:bottom w:val="single" w:color="000000" w:sz="12" w:space="0"/>
        <w:right w:val="single" w:color="000000" w:sz="8" w:space="0"/>
      </w:pBdr>
      <w:spacing w:before="100" w:beforeAutospacing="1" w:after="100" w:afterAutospacing="1"/>
      <w:jc w:val="center"/>
    </w:pPr>
    <w:rPr>
      <w:rFonts w:ascii="仿宋_GB2312" w:eastAsia="仿宋_GB2312" w:cs="宋体"/>
      <w:snapToGrid/>
      <w:color w:val="000000"/>
      <w:sz w:val="16"/>
      <w:szCs w:val="16"/>
    </w:rPr>
  </w:style>
  <w:style w:type="paragraph" w:customStyle="1" w:styleId="76">
    <w:name w:val="xl108"/>
    <w:basedOn w:val="1"/>
    <w:qFormat/>
    <w:uiPriority w:val="0"/>
    <w:pPr>
      <w:widowControl/>
      <w:pBdr>
        <w:bottom w:val="single" w:color="000000" w:sz="12" w:space="0"/>
        <w:right w:val="single" w:color="000000" w:sz="12" w:space="0"/>
      </w:pBdr>
      <w:spacing w:before="100" w:beforeAutospacing="1" w:after="100" w:afterAutospacing="1"/>
      <w:jc w:val="left"/>
    </w:pPr>
    <w:rPr>
      <w:rFonts w:cs="宋体"/>
      <w:snapToGrid/>
      <w:sz w:val="16"/>
      <w:szCs w:val="16"/>
    </w:rPr>
  </w:style>
  <w:style w:type="character" w:customStyle="1" w:styleId="77">
    <w:name w:val="wenzhang"/>
    <w:basedOn w:val="17"/>
    <w:qFormat/>
    <w:uiPriority w:val="0"/>
  </w:style>
  <w:style w:type="paragraph" w:customStyle="1" w:styleId="78">
    <w:name w:val="xl109"/>
    <w:basedOn w:val="1"/>
    <w:qFormat/>
    <w:uiPriority w:val="0"/>
    <w:pPr>
      <w:widowControl/>
      <w:pBdr>
        <w:top w:val="single" w:color="000000" w:sz="8" w:space="0"/>
        <w:bottom w:val="single" w:color="000000" w:sz="8" w:space="0"/>
        <w:right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styleId="79">
    <w:name w:val="No Spacing"/>
    <w:link w:val="80"/>
    <w:qFormat/>
    <w:uiPriority w:val="1"/>
    <w:rPr>
      <w:rFonts w:asciiTheme="minorHAnsi" w:hAnsiTheme="minorHAnsi" w:eastAsiaTheme="minorEastAsia" w:cstheme="minorBidi"/>
      <w:sz w:val="22"/>
      <w:szCs w:val="22"/>
      <w:lang w:val="en-US" w:eastAsia="zh-CN" w:bidi="ar-SA"/>
    </w:rPr>
  </w:style>
  <w:style w:type="character" w:customStyle="1" w:styleId="80">
    <w:name w:val="无间隔 字符"/>
    <w:basedOn w:val="17"/>
    <w:link w:val="79"/>
    <w:qFormat/>
    <w:uiPriority w:val="1"/>
    <w:rPr>
      <w:rFonts w:asciiTheme="minorHAnsi" w:hAnsiTheme="minorHAnsi" w:eastAsiaTheme="minorEastAsia" w:cstheme="minorBidi"/>
      <w:sz w:val="22"/>
      <w:szCs w:val="22"/>
    </w:rPr>
  </w:style>
  <w:style w:type="paragraph" w:customStyle="1" w:styleId="81">
    <w:name w:val="TOC 标题1"/>
    <w:basedOn w:val="2"/>
    <w:next w:val="1"/>
    <w:unhideWhenUsed/>
    <w:qFormat/>
    <w:uiPriority w:val="39"/>
    <w:pPr>
      <w:keepNext/>
      <w:keepLines/>
      <w:spacing w:before="340" w:after="330" w:line="578" w:lineRule="auto"/>
      <w:jc w:val="both"/>
      <w:outlineLvl w:val="9"/>
    </w:pPr>
    <w:rPr>
      <w:sz w:val="44"/>
      <w:szCs w:val="44"/>
    </w:rPr>
  </w:style>
  <w:style w:type="character" w:customStyle="1" w:styleId="82">
    <w:name w:val="result-text"/>
    <w:basedOn w:val="17"/>
    <w:qFormat/>
    <w:uiPriority w:val="0"/>
  </w:style>
  <w:style w:type="character" w:customStyle="1" w:styleId="83">
    <w:name w:val="result-num"/>
    <w:basedOn w:val="17"/>
    <w:qFormat/>
    <w:uiPriority w:val="0"/>
  </w:style>
  <w:style w:type="character" w:customStyle="1" w:styleId="84">
    <w:name w:val="11表格文字居中 Char"/>
    <w:link w:val="85"/>
    <w:qFormat/>
    <w:uiPriority w:val="0"/>
    <w:rPr>
      <w:kern w:val="2"/>
      <w:sz w:val="21"/>
      <w:szCs w:val="24"/>
    </w:rPr>
  </w:style>
  <w:style w:type="paragraph" w:customStyle="1" w:styleId="85">
    <w:name w:val="11表格文字居中"/>
    <w:basedOn w:val="1"/>
    <w:link w:val="84"/>
    <w:qFormat/>
    <w:uiPriority w:val="0"/>
    <w:pPr>
      <w:jc w:val="center"/>
    </w:pPr>
    <w:rPr>
      <w:rFonts w:ascii="Times New Roman" w:hAnsi="Times New Roman"/>
      <w:snapToGrid/>
      <w:kern w:val="2"/>
      <w:sz w:val="21"/>
      <w:szCs w:val="24"/>
    </w:rPr>
  </w:style>
  <w:style w:type="character" w:customStyle="1" w:styleId="86">
    <w:name w:val="07正文段落 Char"/>
    <w:link w:val="87"/>
    <w:qFormat/>
    <w:uiPriority w:val="0"/>
    <w:rPr>
      <w:kern w:val="2"/>
      <w:sz w:val="24"/>
      <w:szCs w:val="21"/>
    </w:rPr>
  </w:style>
  <w:style w:type="paragraph" w:customStyle="1" w:styleId="87">
    <w:name w:val="07正文段落"/>
    <w:basedOn w:val="1"/>
    <w:link w:val="86"/>
    <w:qFormat/>
    <w:uiPriority w:val="0"/>
    <w:pPr>
      <w:spacing w:line="440" w:lineRule="exact"/>
      <w:ind w:firstLine="480" w:firstLineChars="200"/>
      <w:jc w:val="left"/>
    </w:pPr>
    <w:rPr>
      <w:rFonts w:ascii="Times New Roman" w:hAnsi="Times New Roman"/>
      <w:snapToGrid/>
      <w:kern w:val="2"/>
      <w:sz w:val="24"/>
      <w:szCs w:val="21"/>
    </w:rPr>
  </w:style>
  <w:style w:type="table" w:customStyle="1" w:styleId="88">
    <w:name w:val="网格型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A9D0F7-21F1-4EA4-92BE-DA6C303BBF68}">
  <ds:schemaRefs/>
</ds:datastoreItem>
</file>

<file path=docProps/app.xml><?xml version="1.0" encoding="utf-8"?>
<Properties xmlns="http://schemas.openxmlformats.org/officeDocument/2006/extended-properties" xmlns:vt="http://schemas.openxmlformats.org/officeDocument/2006/docPropsVTypes">
  <Template>Normal.dotm</Template>
  <Company>Windsoft</Company>
  <Pages>1</Pages>
  <Words>3479</Words>
  <Characters>19831</Characters>
  <Lines>165</Lines>
  <Paragraphs>46</Paragraphs>
  <TotalTime>9</TotalTime>
  <ScaleCrop>false</ScaleCrop>
  <LinksUpToDate>false</LinksUpToDate>
  <CharactersWithSpaces>23264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2021-07-05T12:02:00Z</dcterms:created>
  <dc:creator>Administrator</dc:creator>
  <cp:lastModifiedBy>Administrator</cp:lastModifiedBy>
  <cp:lastPrinted>2021-11-01T02:04:17Z</cp:lastPrinted>
  <dcterms:modified xsi:type="dcterms:W3CDTF">2021-11-01T02:04:19Z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557A15EE5AA54B62807D642CD819446F</vt:lpwstr>
  </property>
</Properties>
</file>